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9AAE18" w14:textId="77777777" w:rsidR="00B85DCC" w:rsidRPr="00B85DCC" w:rsidRDefault="00B85DCC" w:rsidP="003A315C">
      <w:pPr>
        <w:spacing w:after="0" w:line="360" w:lineRule="auto"/>
        <w:ind w:firstLine="709"/>
        <w:jc w:val="both"/>
        <w:rPr>
          <w:rFonts w:ascii="Times New Roman" w:eastAsia="Times New Roman" w:hAnsi="Times New Roman" w:cs="Times New Roman"/>
          <w:sz w:val="28"/>
          <w:szCs w:val="28"/>
          <w:lang w:val="uk-UA"/>
        </w:rPr>
      </w:pPr>
      <w:r w:rsidRPr="00B85DCC">
        <w:rPr>
          <w:rFonts w:ascii="Times New Roman" w:eastAsia="Times New Roman" w:hAnsi="Times New Roman" w:cs="Times New Roman"/>
          <w:sz w:val="28"/>
          <w:szCs w:val="28"/>
          <w:lang w:val="uk-UA"/>
        </w:rPr>
        <w:t>Соціально-економічні, екологічні та гуманітарні основи розвитку публічного управління та адміністрування в Україні</w:t>
      </w:r>
    </w:p>
    <w:p w14:paraId="5815ABDA" w14:textId="77777777" w:rsidR="00B85DCC" w:rsidRPr="00B85DCC" w:rsidRDefault="00B85DCC" w:rsidP="00B85DCC">
      <w:pPr>
        <w:spacing w:after="0" w:line="360" w:lineRule="auto"/>
        <w:ind w:firstLine="709"/>
        <w:rPr>
          <w:rFonts w:ascii="Times New Roman" w:eastAsia="Times New Roman" w:hAnsi="Times New Roman" w:cs="Times New Roman"/>
          <w:sz w:val="28"/>
          <w:szCs w:val="28"/>
          <w:lang w:val="uk-UA"/>
        </w:rPr>
      </w:pPr>
    </w:p>
    <w:p w14:paraId="526EC1EE" w14:textId="77777777" w:rsidR="00B85DCC" w:rsidRDefault="00B85DCC" w:rsidP="00B85DCC">
      <w:pPr>
        <w:spacing w:after="0" w:line="360" w:lineRule="auto"/>
        <w:ind w:firstLine="709"/>
        <w:jc w:val="both"/>
        <w:rPr>
          <w:rFonts w:ascii="Times New Roman" w:eastAsia="Times New Roman" w:hAnsi="Times New Roman" w:cs="Times New Roman"/>
          <w:sz w:val="28"/>
          <w:szCs w:val="28"/>
          <w:lang w:val="uk-UA"/>
        </w:rPr>
      </w:pPr>
      <w:r w:rsidRPr="00B85DCC">
        <w:rPr>
          <w:rFonts w:ascii="Times New Roman" w:eastAsia="Times New Roman" w:hAnsi="Times New Roman" w:cs="Times New Roman"/>
          <w:b/>
          <w:sz w:val="28"/>
          <w:szCs w:val="28"/>
          <w:lang w:val="uk-UA" w:eastAsia="ru-RU"/>
        </w:rPr>
        <w:t xml:space="preserve"> </w:t>
      </w:r>
      <w:r w:rsidR="003C5257">
        <w:rPr>
          <w:rFonts w:ascii="Times New Roman" w:eastAsia="Times New Roman" w:hAnsi="Times New Roman" w:cs="Times New Roman"/>
          <w:b/>
          <w:sz w:val="28"/>
          <w:szCs w:val="28"/>
          <w:lang w:val="uk-UA"/>
        </w:rPr>
        <w:t>Совач Катерина Олегівна</w:t>
      </w:r>
      <w:r w:rsidRPr="00B85DCC">
        <w:rPr>
          <w:rFonts w:ascii="Times New Roman" w:eastAsia="Times New Roman" w:hAnsi="Times New Roman" w:cs="Times New Roman"/>
          <w:b/>
          <w:sz w:val="28"/>
          <w:szCs w:val="28"/>
          <w:lang w:val="uk-UA"/>
        </w:rPr>
        <w:t xml:space="preserve"> </w:t>
      </w:r>
      <w:r w:rsidRPr="00B85DC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старший викладач</w:t>
      </w:r>
      <w:r w:rsidRPr="00B85DCC">
        <w:rPr>
          <w:rFonts w:ascii="Times New Roman" w:eastAsia="Times New Roman" w:hAnsi="Times New Roman" w:cs="Times New Roman"/>
          <w:sz w:val="28"/>
          <w:szCs w:val="28"/>
          <w:lang w:val="uk-UA"/>
        </w:rPr>
        <w:t xml:space="preserve"> кафедри публічного управління, права та гуманітарних наук, Херсонський державний а</w:t>
      </w:r>
      <w:r>
        <w:rPr>
          <w:rFonts w:ascii="Times New Roman" w:eastAsia="Times New Roman" w:hAnsi="Times New Roman" w:cs="Times New Roman"/>
          <w:sz w:val="28"/>
          <w:szCs w:val="28"/>
          <w:lang w:val="uk-UA"/>
        </w:rPr>
        <w:t>грарно-економічний університет</w:t>
      </w:r>
    </w:p>
    <w:p w14:paraId="7E12AB56" w14:textId="77777777" w:rsidR="00B85DCC" w:rsidRPr="00B85DCC" w:rsidRDefault="00B85DCC" w:rsidP="00B85DCC">
      <w:pPr>
        <w:spacing w:after="0" w:line="360" w:lineRule="auto"/>
        <w:ind w:firstLine="709"/>
        <w:jc w:val="both"/>
        <w:rPr>
          <w:rFonts w:ascii="Times New Roman" w:eastAsia="Times New Roman" w:hAnsi="Times New Roman" w:cs="Times New Roman"/>
          <w:caps/>
          <w:sz w:val="28"/>
          <w:szCs w:val="28"/>
          <w:lang w:val="uk-UA"/>
        </w:rPr>
      </w:pPr>
    </w:p>
    <w:p w14:paraId="2D440751" w14:textId="77777777" w:rsidR="003A315C" w:rsidRDefault="00B11B9E" w:rsidP="00B11B9E">
      <w:pPr>
        <w:spacing w:after="0" w:line="360" w:lineRule="auto"/>
        <w:ind w:firstLine="709"/>
        <w:jc w:val="center"/>
        <w:rPr>
          <w:rFonts w:ascii="Times New Roman" w:eastAsiaTheme="majorEastAsia" w:hAnsi="Times New Roman" w:cs="Times New Roman"/>
          <w:b/>
          <w:bCs/>
          <w:iCs/>
          <w:sz w:val="28"/>
          <w:szCs w:val="28"/>
          <w:lang w:val="uk-UA"/>
        </w:rPr>
      </w:pPr>
      <w:r w:rsidRPr="00B11B9E">
        <w:rPr>
          <w:rFonts w:ascii="Times New Roman" w:eastAsiaTheme="majorEastAsia" w:hAnsi="Times New Roman" w:cs="Times New Roman"/>
          <w:b/>
          <w:bCs/>
          <w:iCs/>
          <w:sz w:val="28"/>
          <w:szCs w:val="28"/>
          <w:lang w:val="uk-UA"/>
        </w:rPr>
        <w:t>LINGUISTIC AND EDUCATIONAL ASPECTS OF DEVELOPING PROFESSIONAL ENGLISH COMMUNICATION FOR PUBLIC ADMINISTRATION AND LAW SPECIALISTS IN THE CONTEXT OF EUROINTEGRATION</w:t>
      </w:r>
    </w:p>
    <w:p w14:paraId="25D978AF" w14:textId="77777777" w:rsidR="003C5257" w:rsidRPr="00F300C6" w:rsidRDefault="003C5257" w:rsidP="00B11B9E">
      <w:pPr>
        <w:spacing w:after="0" w:line="360" w:lineRule="auto"/>
        <w:ind w:firstLine="709"/>
        <w:jc w:val="center"/>
        <w:rPr>
          <w:rFonts w:ascii="Times New Roman" w:hAnsi="Times New Roman" w:cs="Times New Roman"/>
          <w:sz w:val="28"/>
          <w:szCs w:val="28"/>
          <w:lang w:val="uk-UA" w:eastAsia="ru-RU"/>
        </w:rPr>
      </w:pPr>
    </w:p>
    <w:p w14:paraId="22F78547" w14:textId="77777777" w:rsidR="00B11B9E" w:rsidRDefault="00B11B9E" w:rsidP="003A315C">
      <w:pPr>
        <w:spacing w:after="0" w:line="360" w:lineRule="auto"/>
        <w:ind w:firstLine="709"/>
        <w:jc w:val="both"/>
        <w:rPr>
          <w:rFonts w:ascii="Times New Roman" w:hAnsi="Times New Roman" w:cs="Times New Roman"/>
          <w:sz w:val="28"/>
          <w:szCs w:val="28"/>
          <w:lang w:val="uk-UA" w:eastAsia="ru-RU"/>
        </w:rPr>
      </w:pPr>
      <w:r w:rsidRPr="00B11B9E">
        <w:rPr>
          <w:rFonts w:ascii="Times New Roman" w:hAnsi="Times New Roman" w:cs="Times New Roman"/>
          <w:sz w:val="28"/>
          <w:szCs w:val="28"/>
          <w:lang w:val="uk-UA" w:eastAsia="ru-RU"/>
        </w:rPr>
        <w:t>European integration of Ukraine requires public administration and law professionals to possess not only knowledge of international legislation and standards but also a high level of professional English-language communication. It is critically essential for practical cooperation with European institutions, participation in international projects, and the implementation of European law.</w:t>
      </w:r>
    </w:p>
    <w:p w14:paraId="0CC0B503" w14:textId="77777777" w:rsidR="00B11B9E" w:rsidRDefault="00B11B9E" w:rsidP="003A315C">
      <w:pPr>
        <w:spacing w:after="0" w:line="360" w:lineRule="auto"/>
        <w:ind w:firstLine="709"/>
        <w:jc w:val="both"/>
        <w:rPr>
          <w:rFonts w:ascii="Times New Roman" w:hAnsi="Times New Roman" w:cs="Times New Roman"/>
          <w:sz w:val="28"/>
          <w:szCs w:val="28"/>
          <w:lang w:val="uk-UA" w:eastAsia="ru-RU"/>
        </w:rPr>
      </w:pPr>
      <w:r w:rsidRPr="00B11B9E">
        <w:rPr>
          <w:rFonts w:ascii="Times New Roman" w:hAnsi="Times New Roman" w:cs="Times New Roman"/>
          <w:sz w:val="28"/>
          <w:szCs w:val="28"/>
          <w:lang w:val="uk-UA" w:eastAsia="ru-RU"/>
        </w:rPr>
        <w:t xml:space="preserve">Our research aims to justify and specify the linguistic and didactic approaches, methods, and tools for the effective development of professional English-language communicative competence among specialists in the specified fields, taking into account the requirements of European integration processes. </w:t>
      </w:r>
    </w:p>
    <w:p w14:paraId="57ECDAC0" w14:textId="77777777" w:rsidR="00B11B9E" w:rsidRDefault="00B11B9E" w:rsidP="003A315C">
      <w:pPr>
        <w:spacing w:after="0" w:line="360" w:lineRule="auto"/>
        <w:ind w:firstLine="709"/>
        <w:jc w:val="both"/>
        <w:rPr>
          <w:rFonts w:ascii="Times New Roman" w:hAnsi="Times New Roman" w:cs="Times New Roman"/>
          <w:sz w:val="28"/>
          <w:szCs w:val="28"/>
          <w:lang w:val="uk-UA" w:eastAsia="ru-RU"/>
        </w:rPr>
      </w:pPr>
      <w:r w:rsidRPr="00B11B9E">
        <w:rPr>
          <w:rFonts w:ascii="Times New Roman" w:hAnsi="Times New Roman" w:cs="Times New Roman"/>
          <w:sz w:val="28"/>
          <w:szCs w:val="28"/>
          <w:lang w:val="uk-UA" w:eastAsia="ru-RU"/>
        </w:rPr>
        <w:t>Professional English-language communicative competence (PECC) is considered an integrative ability that encompasses linguistic, sociolinguistic, discursive, strategic, and sociocultural competences, which are essential for addressing typical professional tasks in an international environment.</w:t>
      </w:r>
    </w:p>
    <w:p w14:paraId="3490ED77" w14:textId="77777777" w:rsidR="002049A4" w:rsidRDefault="00B11B9E" w:rsidP="003A315C">
      <w:pPr>
        <w:spacing w:after="0" w:line="360" w:lineRule="auto"/>
        <w:ind w:firstLine="709"/>
        <w:jc w:val="both"/>
        <w:rPr>
          <w:rFonts w:ascii="Times New Roman" w:hAnsi="Times New Roman" w:cs="Times New Roman"/>
          <w:sz w:val="28"/>
          <w:szCs w:val="28"/>
          <w:lang w:val="uk-UA" w:eastAsia="ru-RU"/>
        </w:rPr>
      </w:pPr>
      <w:r w:rsidRPr="00B11B9E">
        <w:rPr>
          <w:rFonts w:ascii="Times New Roman" w:hAnsi="Times New Roman" w:cs="Times New Roman"/>
          <w:sz w:val="28"/>
          <w:szCs w:val="28"/>
          <w:lang w:val="uk-UA" w:eastAsia="ru-RU"/>
        </w:rPr>
        <w:t xml:space="preserve">The specificity of professional English in the field of public administration and law lies in the necessity of systematising specialised terminology (legal and administrative), which is crucial for professional communication. It also includes a thorough understanding and reproduction of typical syntactic structures and genres of </w:t>
      </w:r>
      <w:r w:rsidRPr="00B11B9E">
        <w:rPr>
          <w:rFonts w:ascii="Times New Roman" w:hAnsi="Times New Roman" w:cs="Times New Roman"/>
          <w:sz w:val="28"/>
          <w:szCs w:val="28"/>
          <w:lang w:val="uk-UA" w:eastAsia="ru-RU"/>
        </w:rPr>
        <w:lastRenderedPageBreak/>
        <w:t>professional language, such as legal acts, international agreements, protocols, and official correspondence, which form the foundation of professional activity.</w:t>
      </w:r>
    </w:p>
    <w:p w14:paraId="36F2AF6B" w14:textId="77777777" w:rsidR="002049A4" w:rsidRDefault="002049A4" w:rsidP="003A315C">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In the context of European integration, linguodidactics for specialists in public administration and law emphasises the development of intercultural communicative competence, which is critical for effective international interaction</w:t>
      </w:r>
      <w:r w:rsidR="00C9795B">
        <w:rPr>
          <w:rFonts w:ascii="Times New Roman" w:hAnsi="Times New Roman" w:cs="Times New Roman"/>
          <w:sz w:val="28"/>
          <w:szCs w:val="28"/>
          <w:lang w:val="uk-UA" w:eastAsia="ru-RU"/>
        </w:rPr>
        <w:t xml:space="preserve"> </w:t>
      </w:r>
      <w:r w:rsidR="00C9795B">
        <w:rPr>
          <w:rFonts w:ascii="Times New Roman" w:hAnsi="Times New Roman" w:cs="Times New Roman"/>
          <w:sz w:val="28"/>
          <w:szCs w:val="28"/>
          <w:lang w:val="en-US" w:eastAsia="ru-RU"/>
        </w:rPr>
        <w:t>[1]</w:t>
      </w:r>
      <w:r w:rsidRPr="002049A4">
        <w:rPr>
          <w:rFonts w:ascii="Times New Roman" w:hAnsi="Times New Roman" w:cs="Times New Roman"/>
          <w:sz w:val="28"/>
          <w:szCs w:val="28"/>
          <w:lang w:val="uk-UA" w:eastAsia="ru-RU"/>
        </w:rPr>
        <w:t>. It involves cultivating not only the ability to speak professional English fluently but also to work with authentic European sources of law and administrative documents, which ensures the direct and accurate assimilation of European standards.</w:t>
      </w:r>
    </w:p>
    <w:p w14:paraId="174076C3" w14:textId="77777777" w:rsidR="002049A4" w:rsidRPr="002049A4"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Using methods of analysis and synthesis, we can highlight the main linguodidactic aspects and methods that should be applied in English language classes.</w:t>
      </w:r>
    </w:p>
    <w:p w14:paraId="1F18D6FB" w14:textId="77777777" w:rsidR="002049A4" w:rsidRPr="002049A4"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1. Contextualised learning: maximum immersion of students in professionally oriented situations and contexts that simulate real international activities (meetings, negotiations, consultations with foreign experts, preparation of documents).</w:t>
      </w:r>
    </w:p>
    <w:p w14:paraId="16FC213F" w14:textId="77777777" w:rsidR="002049A4"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2. Application of case-study technology: using real or hypothetical international legal and managerial precedents for analysis and discussion in English, which promotes the development of critical thinking and argumentation.</w:t>
      </w:r>
    </w:p>
    <w:p w14:paraId="61941AFE" w14:textId="77777777" w:rsidR="002049A4" w:rsidRDefault="002049A4" w:rsidP="003D69BE">
      <w:pPr>
        <w:spacing w:after="0" w:line="360" w:lineRule="auto"/>
        <w:ind w:firstLine="708"/>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Case technology is one of the most effective methods of teaching professionally oriented English, as it allows for the most accurate simulation of real working situations in the fields of public administration and law</w:t>
      </w:r>
      <w:r w:rsidR="00C9795B">
        <w:rPr>
          <w:rFonts w:ascii="Times New Roman" w:hAnsi="Times New Roman" w:cs="Times New Roman"/>
          <w:sz w:val="28"/>
          <w:szCs w:val="28"/>
          <w:lang w:val="en-US" w:eastAsia="ru-RU"/>
        </w:rPr>
        <w:t xml:space="preserve"> [2]</w:t>
      </w:r>
      <w:r w:rsidRPr="002049A4">
        <w:rPr>
          <w:rFonts w:ascii="Times New Roman" w:hAnsi="Times New Roman" w:cs="Times New Roman"/>
          <w:sz w:val="28"/>
          <w:szCs w:val="28"/>
          <w:lang w:val="uk-UA" w:eastAsia="ru-RU"/>
        </w:rPr>
        <w:t xml:space="preserve">. The primary goal is to develop critical thinking, argumentative skills, decision-making abilities, and the capacity to communicate these decisions effectively in English within a legal and administrative context. Some cases can be suggested: legal precedents (analysis of rulings by the European Court of Human Rights (ECtHR), the Court of the European Union, or international arbitrations, which require the use of specific legal terminology and discourse); administrative dilemmas (situations related to the implementation of European directives, management of global projects, or resolution of conflicts in an international administrative environment). In groups, students develop an English legal opinion, an administrative action plan, or a draft decision. </w:t>
      </w:r>
      <w:r w:rsidRPr="002049A4">
        <w:rPr>
          <w:rFonts w:ascii="Times New Roman" w:hAnsi="Times New Roman" w:cs="Times New Roman"/>
          <w:sz w:val="28"/>
          <w:szCs w:val="28"/>
          <w:lang w:val="uk-UA" w:eastAsia="ru-RU"/>
        </w:rPr>
        <w:lastRenderedPageBreak/>
        <w:t>Publicly defending their decision in English and answering questions from opponents helps develop debate skills and professional argumentation.</w:t>
      </w:r>
    </w:p>
    <w:p w14:paraId="09DC6974" w14:textId="77777777" w:rsidR="002049A4" w:rsidRPr="002049A4"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As a result, it is possible to develop discursive competence (the ability to produce coherent, well-argued texts in professional genres) and strategic competence (the ability to overcome communicat</w:t>
      </w:r>
      <w:r>
        <w:rPr>
          <w:rFonts w:ascii="Times New Roman" w:hAnsi="Times New Roman" w:cs="Times New Roman"/>
          <w:sz w:val="28"/>
          <w:szCs w:val="28"/>
          <w:lang w:val="uk-UA" w:eastAsia="ru-RU"/>
        </w:rPr>
        <w:t>ive difficulties and defend one’</w:t>
      </w:r>
      <w:r w:rsidRPr="002049A4">
        <w:rPr>
          <w:rFonts w:ascii="Times New Roman" w:hAnsi="Times New Roman" w:cs="Times New Roman"/>
          <w:sz w:val="28"/>
          <w:szCs w:val="28"/>
          <w:lang w:val="uk-UA" w:eastAsia="ru-RU"/>
        </w:rPr>
        <w:t>s position).</w:t>
      </w:r>
    </w:p>
    <w:p w14:paraId="67C63F2F" w14:textId="77777777" w:rsidR="002049A4" w:rsidRPr="002049A4"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3. Project-based methodology: involving the development of joint international projects, the preparation of analytical reports or normative acts using English as the primary working instrument.</w:t>
      </w:r>
    </w:p>
    <w:p w14:paraId="3B72E92F" w14:textId="77777777" w:rsidR="002049A4" w:rsidRPr="002049A4"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4. Use of authentic materials: integration into the educational process of EU documents, rulings of the European Court of Human Rights, materials from the OECD, WTO, and other international organisations as the basis for reading, listening, and translation.</w:t>
      </w:r>
    </w:p>
    <w:p w14:paraId="42687442" w14:textId="77777777" w:rsidR="00050245" w:rsidRDefault="002049A4" w:rsidP="002049A4">
      <w:pPr>
        <w:spacing w:after="0" w:line="360" w:lineRule="auto"/>
        <w:ind w:firstLine="709"/>
        <w:jc w:val="both"/>
        <w:rPr>
          <w:rFonts w:ascii="Times New Roman" w:hAnsi="Times New Roman" w:cs="Times New Roman"/>
          <w:sz w:val="28"/>
          <w:szCs w:val="28"/>
          <w:lang w:val="uk-UA" w:eastAsia="ru-RU"/>
        </w:rPr>
      </w:pPr>
      <w:r w:rsidRPr="002049A4">
        <w:rPr>
          <w:rFonts w:ascii="Times New Roman" w:hAnsi="Times New Roman" w:cs="Times New Roman"/>
          <w:sz w:val="28"/>
          <w:szCs w:val="28"/>
          <w:lang w:val="uk-UA" w:eastAsia="ru-RU"/>
        </w:rPr>
        <w:t>5. Interdisciplinary integration: close coordination of English language instruction with specialised disciplines (constitutional law, administrative law, international public law, European law, public administration).</w:t>
      </w:r>
      <w:r>
        <w:rPr>
          <w:rFonts w:ascii="Times New Roman" w:hAnsi="Times New Roman" w:cs="Times New Roman"/>
          <w:sz w:val="28"/>
          <w:szCs w:val="28"/>
          <w:lang w:val="en-US" w:eastAsia="ru-RU"/>
        </w:rPr>
        <w:t xml:space="preserve"> </w:t>
      </w:r>
      <w:r w:rsidRPr="002049A4">
        <w:rPr>
          <w:rFonts w:ascii="Times New Roman" w:hAnsi="Times New Roman" w:cs="Times New Roman"/>
          <w:sz w:val="28"/>
          <w:szCs w:val="28"/>
          <w:lang w:val="uk-UA" w:eastAsia="ru-RU"/>
        </w:rPr>
        <w:t xml:space="preserve">The joint development of educational programmes can facilitate this, namely, the alignment of terminological minimums and topics between English language instructors and lecturers of specialised departments (for example, international law, European management). Moreover, these could include so-called </w:t>
      </w:r>
      <w:r>
        <w:rPr>
          <w:rFonts w:ascii="Times New Roman" w:hAnsi="Times New Roman" w:cs="Times New Roman"/>
          <w:sz w:val="28"/>
          <w:szCs w:val="28"/>
          <w:lang w:val="en-US" w:eastAsia="ru-RU"/>
        </w:rPr>
        <w:t>“</w:t>
      </w:r>
      <w:r>
        <w:rPr>
          <w:rFonts w:ascii="Times New Roman" w:hAnsi="Times New Roman" w:cs="Times New Roman"/>
          <w:sz w:val="28"/>
          <w:szCs w:val="28"/>
          <w:lang w:val="uk-UA" w:eastAsia="ru-RU"/>
        </w:rPr>
        <w:t>language modules</w:t>
      </w:r>
      <w:r>
        <w:rPr>
          <w:rFonts w:ascii="Times New Roman" w:hAnsi="Times New Roman" w:cs="Times New Roman"/>
          <w:sz w:val="28"/>
          <w:szCs w:val="28"/>
          <w:lang w:val="en-US" w:eastAsia="ru-RU"/>
        </w:rPr>
        <w:t>”</w:t>
      </w:r>
      <w:r w:rsidRPr="002049A4">
        <w:rPr>
          <w:rFonts w:ascii="Times New Roman" w:hAnsi="Times New Roman" w:cs="Times New Roman"/>
          <w:sz w:val="28"/>
          <w:szCs w:val="28"/>
          <w:lang w:val="uk-UA" w:eastAsia="ru-RU"/>
        </w:rPr>
        <w:t xml:space="preserve"> within professional courses, such as the inclusion in classes like </w:t>
      </w:r>
      <w:r>
        <w:rPr>
          <w:rFonts w:ascii="Times New Roman" w:hAnsi="Times New Roman" w:cs="Times New Roman"/>
          <w:sz w:val="28"/>
          <w:szCs w:val="28"/>
          <w:lang w:val="en-US" w:eastAsia="ru-RU"/>
        </w:rPr>
        <w:t>“</w:t>
      </w:r>
      <w:r w:rsidRPr="002049A4">
        <w:rPr>
          <w:rFonts w:ascii="Times New Roman" w:hAnsi="Times New Roman" w:cs="Times New Roman"/>
          <w:sz w:val="28"/>
          <w:szCs w:val="28"/>
          <w:lang w:val="uk-UA" w:eastAsia="ru-RU"/>
        </w:rPr>
        <w:t>European Law</w:t>
      </w:r>
      <w:r>
        <w:rPr>
          <w:rFonts w:ascii="Times New Roman" w:hAnsi="Times New Roman" w:cs="Times New Roman"/>
          <w:sz w:val="28"/>
          <w:szCs w:val="28"/>
          <w:lang w:val="en-US" w:eastAsia="ru-RU"/>
        </w:rPr>
        <w:t>”</w:t>
      </w:r>
      <w:r w:rsidRPr="002049A4">
        <w:rPr>
          <w:rFonts w:ascii="Times New Roman" w:hAnsi="Times New Roman" w:cs="Times New Roman"/>
          <w:sz w:val="28"/>
          <w:szCs w:val="28"/>
          <w:lang w:val="uk-UA" w:eastAsia="ru-RU"/>
        </w:rPr>
        <w:t xml:space="preserve"> or </w:t>
      </w:r>
      <w:r>
        <w:rPr>
          <w:rFonts w:ascii="Times New Roman" w:hAnsi="Times New Roman" w:cs="Times New Roman"/>
          <w:sz w:val="28"/>
          <w:szCs w:val="28"/>
          <w:lang w:val="en-US" w:eastAsia="ru-RU"/>
        </w:rPr>
        <w:t>“</w:t>
      </w:r>
      <w:r w:rsidRPr="002049A4">
        <w:rPr>
          <w:rFonts w:ascii="Times New Roman" w:hAnsi="Times New Roman" w:cs="Times New Roman"/>
          <w:sz w:val="28"/>
          <w:szCs w:val="28"/>
          <w:lang w:val="uk-UA" w:eastAsia="ru-RU"/>
        </w:rPr>
        <w:t>Public Administration</w:t>
      </w:r>
      <w:r>
        <w:rPr>
          <w:rFonts w:ascii="Times New Roman" w:hAnsi="Times New Roman" w:cs="Times New Roman"/>
          <w:sz w:val="28"/>
          <w:szCs w:val="28"/>
          <w:lang w:val="en-US" w:eastAsia="ru-RU"/>
        </w:rPr>
        <w:t>”</w:t>
      </w:r>
      <w:r w:rsidRPr="002049A4">
        <w:rPr>
          <w:rFonts w:ascii="Times New Roman" w:hAnsi="Times New Roman" w:cs="Times New Roman"/>
          <w:sz w:val="28"/>
          <w:szCs w:val="28"/>
          <w:lang w:val="uk-UA" w:eastAsia="ru-RU"/>
        </w:rPr>
        <w:t xml:space="preserve"> of individual modules taught entirely in English (CLIL approach – Content an</w:t>
      </w:r>
      <w:r>
        <w:rPr>
          <w:rFonts w:ascii="Times New Roman" w:hAnsi="Times New Roman" w:cs="Times New Roman"/>
          <w:sz w:val="28"/>
          <w:szCs w:val="28"/>
          <w:lang w:val="uk-UA" w:eastAsia="ru-RU"/>
        </w:rPr>
        <w:t>d Language Integrated Learning)</w:t>
      </w:r>
      <w:r w:rsidRPr="002049A4">
        <w:rPr>
          <w:rFonts w:ascii="Times New Roman" w:hAnsi="Times New Roman" w:cs="Times New Roman"/>
          <w:sz w:val="28"/>
          <w:szCs w:val="28"/>
          <w:lang w:val="uk-UA" w:eastAsia="ru-RU"/>
        </w:rPr>
        <w:t xml:space="preserve"> </w:t>
      </w:r>
      <w:r w:rsidR="00F300C6">
        <w:rPr>
          <w:rFonts w:ascii="Times New Roman" w:hAnsi="Times New Roman" w:cs="Times New Roman"/>
          <w:sz w:val="28"/>
          <w:szCs w:val="28"/>
          <w:lang w:val="en-US" w:eastAsia="ru-RU"/>
        </w:rPr>
        <w:t>[</w:t>
      </w:r>
      <w:r w:rsidR="00C9795B">
        <w:rPr>
          <w:rFonts w:ascii="Times New Roman" w:hAnsi="Times New Roman" w:cs="Times New Roman"/>
          <w:sz w:val="28"/>
          <w:szCs w:val="28"/>
          <w:lang w:val="en-US" w:eastAsia="ru-RU"/>
        </w:rPr>
        <w:t>3</w:t>
      </w:r>
      <w:r w:rsidR="00F300C6">
        <w:rPr>
          <w:rFonts w:ascii="Times New Roman" w:hAnsi="Times New Roman" w:cs="Times New Roman"/>
          <w:sz w:val="28"/>
          <w:szCs w:val="28"/>
          <w:lang w:val="uk-UA" w:eastAsia="ru-RU"/>
        </w:rPr>
        <w:t>;</w:t>
      </w:r>
      <w:r w:rsidR="00F300C6" w:rsidRPr="00F300C6">
        <w:rPr>
          <w:rFonts w:ascii="Times New Roman" w:hAnsi="Times New Roman" w:cs="Times New Roman"/>
          <w:sz w:val="28"/>
          <w:szCs w:val="28"/>
          <w:lang w:val="uk-UA" w:eastAsia="ru-RU"/>
        </w:rPr>
        <w:t xml:space="preserve"> </w:t>
      </w:r>
      <w:r w:rsidR="00C9795B">
        <w:rPr>
          <w:rFonts w:ascii="Times New Roman" w:hAnsi="Times New Roman" w:cs="Times New Roman"/>
          <w:sz w:val="28"/>
          <w:szCs w:val="28"/>
          <w:lang w:val="en-US" w:eastAsia="ru-RU"/>
        </w:rPr>
        <w:t>4</w:t>
      </w:r>
      <w:r w:rsidR="00F300C6">
        <w:rPr>
          <w:rFonts w:ascii="Times New Roman" w:hAnsi="Times New Roman" w:cs="Times New Roman"/>
          <w:sz w:val="28"/>
          <w:szCs w:val="28"/>
          <w:lang w:val="en-US" w:eastAsia="ru-RU"/>
        </w:rPr>
        <w:t>]</w:t>
      </w:r>
      <w:r w:rsidR="003D69BE" w:rsidRPr="003D69BE">
        <w:rPr>
          <w:rFonts w:ascii="Times New Roman" w:hAnsi="Times New Roman" w:cs="Times New Roman"/>
          <w:sz w:val="28"/>
          <w:szCs w:val="28"/>
          <w:lang w:val="uk-UA" w:eastAsia="ru-RU"/>
        </w:rPr>
        <w:t>.</w:t>
      </w:r>
    </w:p>
    <w:p w14:paraId="3C40ED0E" w14:textId="77777777" w:rsidR="00EF22C8" w:rsidRDefault="00CC24D1" w:rsidP="003D69BE">
      <w:pPr>
        <w:spacing w:after="0" w:line="360" w:lineRule="auto"/>
        <w:ind w:firstLine="709"/>
        <w:jc w:val="both"/>
        <w:rPr>
          <w:rFonts w:ascii="Times New Roman" w:hAnsi="Times New Roman" w:cs="Times New Roman"/>
          <w:sz w:val="28"/>
          <w:szCs w:val="28"/>
          <w:lang w:val="uk-UA" w:eastAsia="ru-RU"/>
        </w:rPr>
      </w:pPr>
      <w:r w:rsidRPr="00CC24D1">
        <w:rPr>
          <w:rFonts w:ascii="Times New Roman" w:hAnsi="Times New Roman" w:cs="Times New Roman"/>
          <w:sz w:val="28"/>
          <w:szCs w:val="28"/>
          <w:lang w:val="uk-UA" w:eastAsia="ru-RU"/>
        </w:rPr>
        <w:t>The use of authentic single sources (a law teacher uses English-language articles, ECtHR case law, and EU documents to explain the essence of the issue; an Eng</w:t>
      </w:r>
      <w:r w:rsidR="00EF22C8">
        <w:rPr>
          <w:rFonts w:ascii="Times New Roman" w:hAnsi="Times New Roman" w:cs="Times New Roman"/>
          <w:sz w:val="28"/>
          <w:szCs w:val="28"/>
          <w:lang w:val="uk-UA" w:eastAsia="ru-RU"/>
        </w:rPr>
        <w:t>lish language teacher uses the</w:t>
      </w:r>
      <w:r w:rsidRPr="00CC24D1">
        <w:rPr>
          <w:rFonts w:ascii="Times New Roman" w:hAnsi="Times New Roman" w:cs="Times New Roman"/>
          <w:sz w:val="28"/>
          <w:szCs w:val="28"/>
          <w:lang w:val="uk-UA" w:eastAsia="ru-RU"/>
        </w:rPr>
        <w:t xml:space="preserve"> same documents for analysing vocabulary, syntax, terminology, and translation) and collective tasks (joint preparation of bilingual (doubled-language) documents by students, such as a comparative analysis of Ukrainian and Europea</w:t>
      </w:r>
      <w:r w:rsidR="00EF22C8">
        <w:rPr>
          <w:rFonts w:ascii="Times New Roman" w:hAnsi="Times New Roman" w:cs="Times New Roman"/>
          <w:sz w:val="28"/>
          <w:szCs w:val="28"/>
          <w:lang w:val="uk-UA" w:eastAsia="ru-RU"/>
        </w:rPr>
        <w:t>n legislation) enhance students’</w:t>
      </w:r>
      <w:r w:rsidRPr="00CC24D1">
        <w:rPr>
          <w:rFonts w:ascii="Times New Roman" w:hAnsi="Times New Roman" w:cs="Times New Roman"/>
          <w:sz w:val="28"/>
          <w:szCs w:val="28"/>
          <w:lang w:val="uk-UA" w:eastAsia="ru-RU"/>
        </w:rPr>
        <w:t xml:space="preserve"> motivation for language learning, as they immediately see its practical professional value and the support for a deep mastery of specialised terminology in a real work context.</w:t>
      </w:r>
    </w:p>
    <w:p w14:paraId="21D30D33" w14:textId="77777777" w:rsidR="00EF22C8" w:rsidRPr="00EF22C8" w:rsidRDefault="00EF22C8" w:rsidP="00EF22C8">
      <w:pPr>
        <w:spacing w:after="0" w:line="360" w:lineRule="auto"/>
        <w:ind w:firstLine="709"/>
        <w:jc w:val="both"/>
        <w:rPr>
          <w:rFonts w:ascii="Times New Roman" w:hAnsi="Times New Roman" w:cs="Times New Roman"/>
          <w:sz w:val="28"/>
          <w:szCs w:val="28"/>
          <w:lang w:val="uk-UA" w:eastAsia="ru-RU"/>
        </w:rPr>
      </w:pPr>
      <w:r w:rsidRPr="00EF22C8">
        <w:rPr>
          <w:rFonts w:ascii="Times New Roman" w:hAnsi="Times New Roman" w:cs="Times New Roman"/>
          <w:sz w:val="28"/>
          <w:szCs w:val="28"/>
          <w:lang w:val="uk-UA" w:eastAsia="ru-RU"/>
        </w:rPr>
        <w:lastRenderedPageBreak/>
        <w:t>6. Technologisation of training: active utilisation of online platforms, professional databases (EUR-Lex, HUDOC), webinars, and simulations to develop remote professional communication skills.</w:t>
      </w:r>
    </w:p>
    <w:p w14:paraId="38AE3292" w14:textId="77777777" w:rsidR="00EF22C8" w:rsidRPr="00EF22C8" w:rsidRDefault="00EF22C8" w:rsidP="00EF22C8">
      <w:pPr>
        <w:spacing w:after="0" w:line="360" w:lineRule="auto"/>
        <w:ind w:firstLine="709"/>
        <w:jc w:val="both"/>
        <w:rPr>
          <w:rFonts w:ascii="Times New Roman" w:hAnsi="Times New Roman" w:cs="Times New Roman"/>
          <w:sz w:val="28"/>
          <w:szCs w:val="28"/>
          <w:lang w:val="uk-UA" w:eastAsia="ru-RU"/>
        </w:rPr>
      </w:pPr>
      <w:r w:rsidRPr="00EF22C8">
        <w:rPr>
          <w:rFonts w:ascii="Times New Roman" w:hAnsi="Times New Roman" w:cs="Times New Roman"/>
          <w:sz w:val="28"/>
          <w:szCs w:val="28"/>
          <w:lang w:val="uk-UA" w:eastAsia="ru-RU"/>
        </w:rPr>
        <w:t>7. Monitoring and assessment: implementation of an evaluation system focused on the ability to perform professional communicative tasks (for example, delivering a project presentation, preparing a legal opinion, conducting official correspondence).</w:t>
      </w:r>
    </w:p>
    <w:p w14:paraId="0DD6EB1A" w14:textId="77777777" w:rsidR="00EF22C8" w:rsidRPr="003C5257" w:rsidRDefault="00EF22C8" w:rsidP="003C5257">
      <w:pPr>
        <w:spacing w:after="0" w:line="360" w:lineRule="auto"/>
        <w:ind w:firstLine="709"/>
        <w:jc w:val="both"/>
        <w:rPr>
          <w:rFonts w:ascii="Times New Roman" w:hAnsi="Times New Roman" w:cs="Times New Roman"/>
          <w:sz w:val="28"/>
          <w:szCs w:val="28"/>
          <w:lang w:val="uk-UA" w:eastAsia="ru-RU"/>
        </w:rPr>
      </w:pPr>
      <w:r w:rsidRPr="00EF22C8">
        <w:rPr>
          <w:rFonts w:ascii="Times New Roman" w:hAnsi="Times New Roman" w:cs="Times New Roman"/>
          <w:sz w:val="28"/>
          <w:szCs w:val="28"/>
          <w:lang w:val="uk-UA" w:eastAsia="ru-RU"/>
        </w:rPr>
        <w:t xml:space="preserve">Therefore, the effective development of the </w:t>
      </w:r>
      <w:r w:rsidRPr="00B11B9E">
        <w:rPr>
          <w:rFonts w:ascii="Times New Roman" w:hAnsi="Times New Roman" w:cs="Times New Roman"/>
          <w:sz w:val="28"/>
          <w:szCs w:val="28"/>
          <w:lang w:val="uk-UA" w:eastAsia="ru-RU"/>
        </w:rPr>
        <w:t>PECC</w:t>
      </w:r>
      <w:r w:rsidRPr="00EF22C8">
        <w:rPr>
          <w:rFonts w:ascii="Times New Roman" w:hAnsi="Times New Roman" w:cs="Times New Roman"/>
          <w:sz w:val="28"/>
          <w:szCs w:val="28"/>
          <w:lang w:val="uk-UA" w:eastAsia="ru-RU"/>
        </w:rPr>
        <w:t xml:space="preserve"> requires a transition from general language training to highly specialised language didactics, integrated into the professional context of European integration. It will ensure the preparation of personnel capable of competing and collaborating on an international level.</w:t>
      </w:r>
    </w:p>
    <w:p w14:paraId="0905F2AE" w14:textId="77777777" w:rsidR="00B85DCC" w:rsidRDefault="00B85DCC" w:rsidP="00B975F1">
      <w:pPr>
        <w:spacing w:after="0" w:line="360" w:lineRule="auto"/>
        <w:ind w:firstLine="709"/>
        <w:jc w:val="center"/>
        <w:rPr>
          <w:rFonts w:ascii="Times New Roman" w:hAnsi="Times New Roman" w:cs="Times New Roman"/>
          <w:b/>
          <w:sz w:val="28"/>
          <w:szCs w:val="28"/>
          <w:lang w:val="en-US" w:eastAsia="ru-RU"/>
        </w:rPr>
      </w:pPr>
      <w:r>
        <w:rPr>
          <w:rFonts w:ascii="Times New Roman" w:hAnsi="Times New Roman" w:cs="Times New Roman"/>
          <w:b/>
          <w:sz w:val="28"/>
          <w:szCs w:val="28"/>
          <w:lang w:val="en-US" w:eastAsia="ru-RU"/>
        </w:rPr>
        <w:t>References</w:t>
      </w:r>
    </w:p>
    <w:p w14:paraId="443BB376" w14:textId="77777777" w:rsidR="00C9795B" w:rsidRPr="00C9795B" w:rsidRDefault="00C9795B" w:rsidP="00C9795B">
      <w:pPr>
        <w:spacing w:after="0" w:line="360" w:lineRule="auto"/>
        <w:ind w:firstLine="708"/>
        <w:jc w:val="both"/>
        <w:rPr>
          <w:rFonts w:ascii="Times New Roman" w:hAnsi="Times New Roman" w:cs="Times New Roman"/>
          <w:sz w:val="28"/>
          <w:szCs w:val="28"/>
          <w:lang w:val="en-US" w:eastAsia="ru-RU"/>
        </w:rPr>
      </w:pPr>
      <w:r>
        <w:rPr>
          <w:rFonts w:ascii="Times New Roman" w:hAnsi="Times New Roman" w:cs="Times New Roman"/>
          <w:sz w:val="28"/>
          <w:szCs w:val="28"/>
          <w:lang w:val="en-US" w:eastAsia="ru-RU"/>
        </w:rPr>
        <w:t xml:space="preserve">1. </w:t>
      </w:r>
      <w:r w:rsidRPr="00C9795B">
        <w:rPr>
          <w:rFonts w:ascii="Times New Roman" w:hAnsi="Times New Roman" w:cs="Times New Roman"/>
          <w:sz w:val="28"/>
          <w:szCs w:val="28"/>
          <w:lang w:val="uk-UA" w:eastAsia="ru-RU"/>
        </w:rPr>
        <w:t xml:space="preserve">Петришина О. Лінгводидактичні основи формування навичок публічної комунікації у студентів нефілологічних спеціальностей. </w:t>
      </w:r>
      <w:r w:rsidRPr="00C9795B">
        <w:rPr>
          <w:rFonts w:ascii="Times New Roman" w:hAnsi="Times New Roman" w:cs="Times New Roman"/>
          <w:i/>
          <w:sz w:val="28"/>
          <w:szCs w:val="28"/>
          <w:lang w:val="uk-UA" w:eastAsia="ru-RU"/>
        </w:rPr>
        <w:t>Наукові записки Тернопільського національного педагогічного університету імені Володимира Гнатюка.</w:t>
      </w:r>
      <w:r w:rsidRPr="00C9795B">
        <w:rPr>
          <w:rFonts w:ascii="Times New Roman" w:hAnsi="Times New Roman" w:cs="Times New Roman"/>
          <w:sz w:val="28"/>
          <w:szCs w:val="28"/>
          <w:lang w:eastAsia="ru-RU"/>
        </w:rPr>
        <w:t xml:space="preserve"> </w:t>
      </w:r>
      <w:r w:rsidRPr="00C9795B">
        <w:rPr>
          <w:rFonts w:ascii="Times New Roman" w:hAnsi="Times New Roman" w:cs="Times New Roman"/>
          <w:i/>
          <w:sz w:val="28"/>
          <w:szCs w:val="28"/>
          <w:lang w:val="uk-UA" w:eastAsia="ru-RU"/>
        </w:rPr>
        <w:t>Серія: Педагогіка.</w:t>
      </w:r>
      <w:r w:rsidRPr="00C9795B">
        <w:rPr>
          <w:rFonts w:ascii="Times New Roman" w:hAnsi="Times New Roman" w:cs="Times New Roman"/>
          <w:sz w:val="28"/>
          <w:szCs w:val="28"/>
          <w:lang w:val="uk-UA" w:eastAsia="ru-RU"/>
        </w:rPr>
        <w:t xml:space="preserve"> 2020. Вип. 2. С. 150–157. </w:t>
      </w:r>
      <w:r w:rsidRPr="00C9795B">
        <w:rPr>
          <w:rFonts w:ascii="Times New Roman" w:hAnsi="Times New Roman" w:cs="Times New Roman"/>
          <w:sz w:val="28"/>
          <w:szCs w:val="28"/>
          <w:lang w:val="en-US" w:eastAsia="ru-RU"/>
        </w:rPr>
        <w:t xml:space="preserve">DOI: </w:t>
      </w:r>
      <w:hyperlink r:id="rId6" w:history="1">
        <w:r w:rsidRPr="00C9795B">
          <w:rPr>
            <w:rStyle w:val="a4"/>
            <w:rFonts w:ascii="Times New Roman" w:hAnsi="Times New Roman" w:cs="Times New Roman"/>
            <w:sz w:val="28"/>
            <w:szCs w:val="28"/>
            <w:lang w:val="en-US" w:eastAsia="ru-RU"/>
          </w:rPr>
          <w:t>https://doi.org/10.25128/2415-3605.20.2.20</w:t>
        </w:r>
      </w:hyperlink>
      <w:r w:rsidRPr="00C9795B">
        <w:rPr>
          <w:rFonts w:ascii="Times New Roman" w:hAnsi="Times New Roman" w:cs="Times New Roman"/>
          <w:sz w:val="28"/>
          <w:szCs w:val="28"/>
          <w:lang w:val="en-US" w:eastAsia="ru-RU"/>
        </w:rPr>
        <w:t xml:space="preserve"> </w:t>
      </w:r>
    </w:p>
    <w:p w14:paraId="41607CD3" w14:textId="77777777" w:rsidR="00C9795B" w:rsidRPr="003C5257" w:rsidRDefault="00C9795B" w:rsidP="00C9795B">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en-US" w:eastAsia="ru-RU"/>
        </w:rPr>
        <w:t xml:space="preserve">2. </w:t>
      </w:r>
      <w:r>
        <w:rPr>
          <w:rFonts w:ascii="Times New Roman" w:hAnsi="Times New Roman" w:cs="Times New Roman"/>
          <w:sz w:val="28"/>
          <w:szCs w:val="28"/>
          <w:lang w:val="uk-UA" w:eastAsia="ru-RU"/>
        </w:rPr>
        <w:t>Brown H. Douglas</w:t>
      </w:r>
      <w:r w:rsidRPr="00C9795B">
        <w:rPr>
          <w:rFonts w:ascii="Times New Roman" w:hAnsi="Times New Roman" w:cs="Times New Roman"/>
          <w:sz w:val="28"/>
          <w:szCs w:val="28"/>
          <w:lang w:val="uk-UA" w:eastAsia="ru-RU"/>
        </w:rPr>
        <w:t>. Principles of Language Learning and Teaching.</w:t>
      </w:r>
      <w:r>
        <w:rPr>
          <w:rFonts w:ascii="Times New Roman" w:hAnsi="Times New Roman" w:cs="Times New Roman"/>
          <w:sz w:val="28"/>
          <w:szCs w:val="28"/>
          <w:lang w:val="en-US" w:eastAsia="ru-RU"/>
        </w:rPr>
        <w:t xml:space="preserve"> </w:t>
      </w:r>
      <w:r w:rsidRPr="003C5257">
        <w:rPr>
          <w:rFonts w:ascii="Times New Roman" w:hAnsi="Times New Roman" w:cs="Times New Roman"/>
          <w:sz w:val="28"/>
          <w:szCs w:val="28"/>
          <w:lang w:eastAsia="ru-RU"/>
        </w:rPr>
        <w:t xml:space="preserve">2007. </w:t>
      </w:r>
      <w:r w:rsidRPr="00C9795B">
        <w:rPr>
          <w:rFonts w:ascii="Times New Roman" w:hAnsi="Times New Roman" w:cs="Times New Roman"/>
          <w:sz w:val="28"/>
          <w:szCs w:val="28"/>
          <w:lang w:val="en-US" w:eastAsia="ru-RU"/>
        </w:rPr>
        <w:t>URL</w:t>
      </w:r>
      <w:r w:rsidRPr="003C5257">
        <w:rPr>
          <w:rFonts w:ascii="Times New Roman" w:hAnsi="Times New Roman" w:cs="Times New Roman"/>
          <w:sz w:val="28"/>
          <w:szCs w:val="28"/>
          <w:lang w:eastAsia="ru-RU"/>
        </w:rPr>
        <w:t xml:space="preserve">: </w:t>
      </w:r>
      <w:hyperlink r:id="rId7" w:history="1">
        <w:r w:rsidRPr="003C5257">
          <w:rPr>
            <w:rStyle w:val="a4"/>
            <w:rFonts w:ascii="Times New Roman" w:hAnsi="Times New Roman" w:cs="Times New Roman"/>
            <w:sz w:val="28"/>
            <w:szCs w:val="28"/>
            <w:lang w:val="en-US" w:eastAsia="ru-RU"/>
          </w:rPr>
          <w:t>https</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gustavorubinoernesto</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com</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wp</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content</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uploads</w:t>
        </w:r>
        <w:r w:rsidRPr="003C5257">
          <w:rPr>
            <w:rStyle w:val="a4"/>
            <w:rFonts w:ascii="Times New Roman" w:hAnsi="Times New Roman" w:cs="Times New Roman"/>
            <w:sz w:val="28"/>
            <w:szCs w:val="28"/>
            <w:lang w:eastAsia="ru-RU"/>
          </w:rPr>
          <w:t>/2020/06/</w:t>
        </w:r>
        <w:r w:rsidRPr="003C5257">
          <w:rPr>
            <w:rStyle w:val="a4"/>
            <w:rFonts w:ascii="Times New Roman" w:hAnsi="Times New Roman" w:cs="Times New Roman"/>
            <w:sz w:val="28"/>
            <w:szCs w:val="28"/>
            <w:lang w:val="en-US" w:eastAsia="ru-RU"/>
          </w:rPr>
          <w:t>H</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Douglas</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Brown</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Principles</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of</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Language</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Learning</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and</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Teaching</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pdf</w:t>
        </w:r>
      </w:hyperlink>
      <w:r w:rsidRPr="003C5257">
        <w:rPr>
          <w:rFonts w:ascii="Times New Roman" w:hAnsi="Times New Roman" w:cs="Times New Roman"/>
          <w:sz w:val="28"/>
          <w:szCs w:val="28"/>
          <w:lang w:eastAsia="ru-RU"/>
        </w:rPr>
        <w:t xml:space="preserve"> </w:t>
      </w:r>
      <w:r w:rsidRPr="003C5257">
        <w:rPr>
          <w:rFonts w:ascii="Times New Roman" w:hAnsi="Times New Roman" w:cs="Times New Roman"/>
          <w:sz w:val="28"/>
          <w:szCs w:val="28"/>
          <w:lang w:val="uk-UA" w:eastAsia="ru-RU"/>
        </w:rPr>
        <w:t>(дата звернення:</w:t>
      </w:r>
      <w:r w:rsidR="003C5257" w:rsidRPr="003C5257">
        <w:rPr>
          <w:rFonts w:ascii="Times New Roman" w:hAnsi="Times New Roman" w:cs="Times New Roman"/>
          <w:sz w:val="28"/>
          <w:szCs w:val="28"/>
          <w:lang w:val="uk-UA" w:eastAsia="ru-RU"/>
        </w:rPr>
        <w:t xml:space="preserve"> 03.05.2026</w:t>
      </w:r>
      <w:r w:rsidRPr="003C5257">
        <w:rPr>
          <w:rFonts w:ascii="Times New Roman" w:hAnsi="Times New Roman" w:cs="Times New Roman"/>
          <w:sz w:val="28"/>
          <w:szCs w:val="28"/>
          <w:lang w:val="uk-UA" w:eastAsia="ru-RU"/>
        </w:rPr>
        <w:t>).</w:t>
      </w:r>
    </w:p>
    <w:p w14:paraId="2DA18504" w14:textId="77777777" w:rsidR="00C9795B" w:rsidRPr="003C5257" w:rsidRDefault="00C9795B" w:rsidP="00F300C6">
      <w:pPr>
        <w:spacing w:after="0" w:line="360" w:lineRule="auto"/>
        <w:ind w:firstLine="708"/>
        <w:jc w:val="both"/>
        <w:rPr>
          <w:rFonts w:ascii="Times New Roman" w:hAnsi="Times New Roman" w:cs="Times New Roman"/>
          <w:sz w:val="28"/>
          <w:szCs w:val="28"/>
          <w:lang w:val="uk-UA" w:eastAsia="ru-RU"/>
        </w:rPr>
      </w:pPr>
      <w:r w:rsidRPr="003C5257">
        <w:rPr>
          <w:rFonts w:ascii="Times New Roman" w:hAnsi="Times New Roman" w:cs="Times New Roman"/>
          <w:sz w:val="28"/>
          <w:szCs w:val="28"/>
          <w:lang w:val="en-US" w:eastAsia="ru-RU"/>
        </w:rPr>
        <w:t xml:space="preserve">3. </w:t>
      </w:r>
      <w:r w:rsidRPr="003C5257">
        <w:rPr>
          <w:rFonts w:ascii="Times New Roman" w:hAnsi="Times New Roman" w:cs="Times New Roman"/>
          <w:sz w:val="28"/>
          <w:szCs w:val="28"/>
          <w:lang w:val="uk-UA" w:eastAsia="ru-RU"/>
        </w:rPr>
        <w:t xml:space="preserve">Coyle D., Hood P., Marsh D. CLIL: Content and Language Integrated Learning. </w:t>
      </w:r>
      <w:r w:rsidRPr="003C5257">
        <w:rPr>
          <w:rFonts w:ascii="Times New Roman" w:hAnsi="Times New Roman" w:cs="Times New Roman"/>
          <w:sz w:val="28"/>
          <w:szCs w:val="28"/>
          <w:lang w:val="en-US" w:eastAsia="ru-RU"/>
        </w:rPr>
        <w:t>Cambridge University Press</w:t>
      </w:r>
      <w:r w:rsidRPr="003C5257">
        <w:rPr>
          <w:rFonts w:ascii="Times New Roman" w:hAnsi="Times New Roman" w:cs="Times New Roman"/>
          <w:sz w:val="28"/>
          <w:szCs w:val="28"/>
          <w:lang w:val="uk-UA" w:eastAsia="ru-RU"/>
        </w:rPr>
        <w:t>. 2010.</w:t>
      </w:r>
      <w:r w:rsidRPr="003C5257">
        <w:rPr>
          <w:lang w:val="en-US"/>
        </w:rPr>
        <w:t xml:space="preserve"> </w:t>
      </w:r>
      <w:r w:rsidRPr="003C5257">
        <w:rPr>
          <w:rFonts w:ascii="Times New Roman" w:hAnsi="Times New Roman" w:cs="Times New Roman"/>
          <w:sz w:val="28"/>
          <w:szCs w:val="28"/>
          <w:lang w:val="en-US" w:eastAsia="ru-RU"/>
        </w:rPr>
        <w:t>URL</w:t>
      </w:r>
      <w:r w:rsidRPr="003C5257">
        <w:rPr>
          <w:rFonts w:ascii="Times New Roman" w:hAnsi="Times New Roman" w:cs="Times New Roman"/>
          <w:sz w:val="28"/>
          <w:szCs w:val="28"/>
          <w:lang w:eastAsia="ru-RU"/>
        </w:rPr>
        <w:t xml:space="preserve">: </w:t>
      </w:r>
      <w:hyperlink r:id="rId8" w:history="1">
        <w:r w:rsidRPr="003C5257">
          <w:rPr>
            <w:rStyle w:val="a4"/>
            <w:rFonts w:ascii="Times New Roman" w:hAnsi="Times New Roman" w:cs="Times New Roman"/>
            <w:sz w:val="28"/>
            <w:szCs w:val="28"/>
            <w:lang w:val="uk-UA" w:eastAsia="ru-RU"/>
          </w:rPr>
          <w:t>https://assets.cambridge.org/97805211/30219/excerpt/9780521130219_excerpt.pdf</w:t>
        </w:r>
      </w:hyperlink>
      <w:r w:rsidRPr="003C5257">
        <w:rPr>
          <w:rFonts w:ascii="Times New Roman" w:hAnsi="Times New Roman" w:cs="Times New Roman"/>
          <w:sz w:val="28"/>
          <w:szCs w:val="28"/>
          <w:lang w:val="uk-UA" w:eastAsia="ru-RU"/>
        </w:rPr>
        <w:t xml:space="preserve"> (дата звернення:</w:t>
      </w:r>
      <w:r w:rsidR="003C5257" w:rsidRPr="003C5257">
        <w:rPr>
          <w:rFonts w:ascii="Times New Roman" w:hAnsi="Times New Roman" w:cs="Times New Roman"/>
          <w:sz w:val="28"/>
          <w:szCs w:val="28"/>
          <w:lang w:val="uk-UA" w:eastAsia="ru-RU"/>
        </w:rPr>
        <w:t xml:space="preserve"> 03.05.2026</w:t>
      </w:r>
      <w:r w:rsidRPr="003C5257">
        <w:rPr>
          <w:rFonts w:ascii="Times New Roman" w:hAnsi="Times New Roman" w:cs="Times New Roman"/>
          <w:sz w:val="28"/>
          <w:szCs w:val="28"/>
          <w:lang w:val="uk-UA" w:eastAsia="ru-RU"/>
        </w:rPr>
        <w:t>).</w:t>
      </w:r>
    </w:p>
    <w:p w14:paraId="2878C68B" w14:textId="77777777" w:rsidR="00C9795B" w:rsidRDefault="00C9795B" w:rsidP="00F300C6">
      <w:pPr>
        <w:spacing w:after="0" w:line="360" w:lineRule="auto"/>
        <w:ind w:firstLine="708"/>
        <w:jc w:val="both"/>
        <w:rPr>
          <w:rFonts w:ascii="Times New Roman" w:hAnsi="Times New Roman" w:cs="Times New Roman"/>
          <w:sz w:val="28"/>
          <w:szCs w:val="28"/>
          <w:lang w:val="uk-UA" w:eastAsia="ru-RU"/>
        </w:rPr>
      </w:pPr>
      <w:r w:rsidRPr="003C5257">
        <w:rPr>
          <w:rFonts w:ascii="Times New Roman" w:hAnsi="Times New Roman" w:cs="Times New Roman"/>
          <w:sz w:val="28"/>
          <w:szCs w:val="28"/>
          <w:lang w:val="en-US" w:eastAsia="ru-RU"/>
        </w:rPr>
        <w:t xml:space="preserve">4. </w:t>
      </w:r>
      <w:r w:rsidRPr="003C5257">
        <w:rPr>
          <w:rFonts w:ascii="Times New Roman" w:hAnsi="Times New Roman" w:cs="Times New Roman"/>
          <w:sz w:val="28"/>
          <w:szCs w:val="28"/>
          <w:lang w:val="uk-UA" w:eastAsia="ru-RU"/>
        </w:rPr>
        <w:t>Marsh D. Content and Language Integrated Learning</w:t>
      </w:r>
      <w:r w:rsidRPr="003C5257">
        <w:rPr>
          <w:rFonts w:ascii="Times New Roman" w:hAnsi="Times New Roman" w:cs="Times New Roman"/>
          <w:sz w:val="28"/>
          <w:szCs w:val="28"/>
          <w:lang w:val="en-US" w:eastAsia="ru-RU"/>
        </w:rPr>
        <w:t xml:space="preserve"> </w:t>
      </w:r>
      <w:r w:rsidRPr="003C5257">
        <w:rPr>
          <w:rFonts w:ascii="Times New Roman" w:hAnsi="Times New Roman" w:cs="Times New Roman"/>
          <w:sz w:val="28"/>
          <w:szCs w:val="28"/>
          <w:lang w:val="uk-UA" w:eastAsia="ru-RU"/>
        </w:rPr>
        <w:t>: The European Dimension – Actions, Trends and Future Prospects.</w:t>
      </w:r>
      <w:r w:rsidRPr="003C5257">
        <w:rPr>
          <w:lang w:val="en-US"/>
        </w:rPr>
        <w:t xml:space="preserve"> </w:t>
      </w:r>
      <w:r w:rsidRPr="003C5257">
        <w:rPr>
          <w:rFonts w:ascii="Times New Roman" w:hAnsi="Times New Roman" w:cs="Times New Roman"/>
          <w:sz w:val="28"/>
          <w:szCs w:val="28"/>
          <w:lang w:val="uk-UA" w:eastAsia="ru-RU"/>
        </w:rPr>
        <w:t>2002.</w:t>
      </w:r>
      <w:r w:rsidRPr="003C5257">
        <w:rPr>
          <w:rFonts w:ascii="Times New Roman" w:hAnsi="Times New Roman" w:cs="Times New Roman"/>
          <w:sz w:val="28"/>
          <w:szCs w:val="28"/>
          <w:lang w:eastAsia="ru-RU"/>
        </w:rPr>
        <w:t xml:space="preserve"> </w:t>
      </w:r>
      <w:r w:rsidRPr="003C5257">
        <w:rPr>
          <w:rFonts w:ascii="Times New Roman" w:hAnsi="Times New Roman" w:cs="Times New Roman"/>
          <w:sz w:val="28"/>
          <w:szCs w:val="28"/>
          <w:lang w:val="en-US" w:eastAsia="ru-RU"/>
        </w:rPr>
        <w:t>URL</w:t>
      </w:r>
      <w:r w:rsidRPr="003C5257">
        <w:rPr>
          <w:rFonts w:ascii="Times New Roman" w:hAnsi="Times New Roman" w:cs="Times New Roman"/>
          <w:sz w:val="28"/>
          <w:szCs w:val="28"/>
          <w:lang w:eastAsia="ru-RU"/>
        </w:rPr>
        <w:t xml:space="preserve">: </w:t>
      </w:r>
      <w:hyperlink r:id="rId9" w:history="1">
        <w:r w:rsidRPr="003C5257">
          <w:rPr>
            <w:rStyle w:val="a4"/>
            <w:rFonts w:ascii="Times New Roman" w:hAnsi="Times New Roman" w:cs="Times New Roman"/>
            <w:sz w:val="28"/>
            <w:szCs w:val="28"/>
            <w:lang w:val="en-US" w:eastAsia="ru-RU"/>
          </w:rPr>
          <w:t>https</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www</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ecml</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at</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Portals</w:t>
        </w:r>
        <w:r w:rsidRPr="003C5257">
          <w:rPr>
            <w:rStyle w:val="a4"/>
            <w:rFonts w:ascii="Times New Roman" w:hAnsi="Times New Roman" w:cs="Times New Roman"/>
            <w:sz w:val="28"/>
            <w:szCs w:val="28"/>
            <w:lang w:eastAsia="ru-RU"/>
          </w:rPr>
          <w:t>/1/</w:t>
        </w:r>
        <w:r w:rsidRPr="003C5257">
          <w:rPr>
            <w:rStyle w:val="a4"/>
            <w:rFonts w:ascii="Times New Roman" w:hAnsi="Times New Roman" w:cs="Times New Roman"/>
            <w:sz w:val="28"/>
            <w:szCs w:val="28"/>
            <w:lang w:val="en-US" w:eastAsia="ru-RU"/>
          </w:rPr>
          <w:t>resources</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Articles</w:t>
        </w:r>
        <w:r w:rsidRPr="003C5257">
          <w:rPr>
            <w:rStyle w:val="a4"/>
            <w:rFonts w:ascii="Times New Roman" w:hAnsi="Times New Roman" w:cs="Times New Roman"/>
            <w:sz w:val="28"/>
            <w:szCs w:val="28"/>
            <w:lang w:eastAsia="ru-RU"/>
          </w:rPr>
          <w:t>%20</w:t>
        </w:r>
        <w:r w:rsidRPr="003C5257">
          <w:rPr>
            <w:rStyle w:val="a4"/>
            <w:rFonts w:ascii="Times New Roman" w:hAnsi="Times New Roman" w:cs="Times New Roman"/>
            <w:sz w:val="28"/>
            <w:szCs w:val="28"/>
            <w:lang w:val="en-US" w:eastAsia="ru-RU"/>
          </w:rPr>
          <w:t>and</w:t>
        </w:r>
        <w:r w:rsidRPr="003C5257">
          <w:rPr>
            <w:rStyle w:val="a4"/>
            <w:rFonts w:ascii="Times New Roman" w:hAnsi="Times New Roman" w:cs="Times New Roman"/>
            <w:sz w:val="28"/>
            <w:szCs w:val="28"/>
            <w:lang w:eastAsia="ru-RU"/>
          </w:rPr>
          <w:t>%20</w:t>
        </w:r>
        <w:r w:rsidRPr="003C5257">
          <w:rPr>
            <w:rStyle w:val="a4"/>
            <w:rFonts w:ascii="Times New Roman" w:hAnsi="Times New Roman" w:cs="Times New Roman"/>
            <w:sz w:val="28"/>
            <w:szCs w:val="28"/>
            <w:lang w:val="en-US" w:eastAsia="ru-RU"/>
          </w:rPr>
          <w:t>publications</w:t>
        </w:r>
        <w:r w:rsidRPr="003C5257">
          <w:rPr>
            <w:rStyle w:val="a4"/>
            <w:rFonts w:ascii="Times New Roman" w:hAnsi="Times New Roman" w:cs="Times New Roman"/>
            <w:sz w:val="28"/>
            <w:szCs w:val="28"/>
            <w:lang w:eastAsia="ru-RU"/>
          </w:rPr>
          <w:t>%20</w:t>
        </w:r>
        <w:r w:rsidRPr="003C5257">
          <w:rPr>
            <w:rStyle w:val="a4"/>
            <w:rFonts w:ascii="Times New Roman" w:hAnsi="Times New Roman" w:cs="Times New Roman"/>
            <w:sz w:val="28"/>
            <w:szCs w:val="28"/>
            <w:lang w:val="en-US" w:eastAsia="ru-RU"/>
          </w:rPr>
          <w:t>on</w:t>
        </w:r>
        <w:r w:rsidRPr="003C5257">
          <w:rPr>
            <w:rStyle w:val="a4"/>
            <w:rFonts w:ascii="Times New Roman" w:hAnsi="Times New Roman" w:cs="Times New Roman"/>
            <w:sz w:val="28"/>
            <w:szCs w:val="28"/>
            <w:lang w:eastAsia="ru-RU"/>
          </w:rPr>
          <w:t>%20</w:t>
        </w:r>
        <w:r w:rsidRPr="003C5257">
          <w:rPr>
            <w:rStyle w:val="a4"/>
            <w:rFonts w:ascii="Times New Roman" w:hAnsi="Times New Roman" w:cs="Times New Roman"/>
            <w:sz w:val="28"/>
            <w:szCs w:val="28"/>
            <w:lang w:val="en-US" w:eastAsia="ru-RU"/>
          </w:rPr>
          <w:t>the</w:t>
        </w:r>
        <w:r w:rsidRPr="003C5257">
          <w:rPr>
            <w:rStyle w:val="a4"/>
            <w:rFonts w:ascii="Times New Roman" w:hAnsi="Times New Roman" w:cs="Times New Roman"/>
            <w:sz w:val="28"/>
            <w:szCs w:val="28"/>
            <w:lang w:eastAsia="ru-RU"/>
          </w:rPr>
          <w:t>%20</w:t>
        </w:r>
        <w:r w:rsidRPr="003C5257">
          <w:rPr>
            <w:rStyle w:val="a4"/>
            <w:rFonts w:ascii="Times New Roman" w:hAnsi="Times New Roman" w:cs="Times New Roman"/>
            <w:sz w:val="28"/>
            <w:szCs w:val="28"/>
            <w:lang w:val="en-US" w:eastAsia="ru-RU"/>
          </w:rPr>
          <w:t>ECML</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CLIL</w:t>
        </w:r>
        <w:r w:rsidRPr="003C5257">
          <w:rPr>
            <w:rStyle w:val="a4"/>
            <w:rFonts w:ascii="Times New Roman" w:hAnsi="Times New Roman" w:cs="Times New Roman"/>
            <w:sz w:val="28"/>
            <w:szCs w:val="28"/>
            <w:lang w:eastAsia="ru-RU"/>
          </w:rPr>
          <w:t>_</w:t>
        </w:r>
        <w:r w:rsidRPr="003C5257">
          <w:rPr>
            <w:rStyle w:val="a4"/>
            <w:rFonts w:ascii="Times New Roman" w:hAnsi="Times New Roman" w:cs="Times New Roman"/>
            <w:sz w:val="28"/>
            <w:szCs w:val="28"/>
            <w:lang w:val="en-US" w:eastAsia="ru-RU"/>
          </w:rPr>
          <w:t>EMILE</w:t>
        </w:r>
        <w:r w:rsidRPr="003C5257">
          <w:rPr>
            <w:rStyle w:val="a4"/>
            <w:rFonts w:ascii="Times New Roman" w:hAnsi="Times New Roman" w:cs="Times New Roman"/>
            <w:sz w:val="28"/>
            <w:szCs w:val="28"/>
            <w:lang w:eastAsia="ru-RU"/>
          </w:rPr>
          <w:t>.</w:t>
        </w:r>
        <w:r w:rsidRPr="003C5257">
          <w:rPr>
            <w:rStyle w:val="a4"/>
            <w:rFonts w:ascii="Times New Roman" w:hAnsi="Times New Roman" w:cs="Times New Roman"/>
            <w:sz w:val="28"/>
            <w:szCs w:val="28"/>
            <w:lang w:val="en-US" w:eastAsia="ru-RU"/>
          </w:rPr>
          <w:t>pdf</w:t>
        </w:r>
      </w:hyperlink>
      <w:r w:rsidRPr="003C5257">
        <w:rPr>
          <w:rFonts w:ascii="Times New Roman" w:hAnsi="Times New Roman" w:cs="Times New Roman"/>
          <w:sz w:val="28"/>
          <w:szCs w:val="28"/>
          <w:lang w:eastAsia="ru-RU"/>
        </w:rPr>
        <w:t xml:space="preserve"> </w:t>
      </w:r>
      <w:r w:rsidRPr="003C5257">
        <w:rPr>
          <w:rFonts w:ascii="Times New Roman" w:hAnsi="Times New Roman" w:cs="Times New Roman"/>
          <w:sz w:val="28"/>
          <w:szCs w:val="28"/>
          <w:lang w:val="uk-UA" w:eastAsia="ru-RU"/>
        </w:rPr>
        <w:t>(дата звернення:</w:t>
      </w:r>
      <w:r w:rsidR="003C5257" w:rsidRPr="003C5257">
        <w:rPr>
          <w:rFonts w:ascii="Times New Roman" w:hAnsi="Times New Roman" w:cs="Times New Roman"/>
          <w:sz w:val="28"/>
          <w:szCs w:val="28"/>
          <w:lang w:val="uk-UA" w:eastAsia="ru-RU"/>
        </w:rPr>
        <w:t xml:space="preserve"> 04.05.2026</w:t>
      </w:r>
      <w:r w:rsidRPr="003C5257">
        <w:rPr>
          <w:rFonts w:ascii="Times New Roman" w:hAnsi="Times New Roman" w:cs="Times New Roman"/>
          <w:sz w:val="28"/>
          <w:szCs w:val="28"/>
          <w:lang w:val="uk-UA" w:eastAsia="ru-RU"/>
        </w:rPr>
        <w:t>).</w:t>
      </w:r>
    </w:p>
    <w:p w14:paraId="3C657F0A" w14:textId="77777777" w:rsidR="00B11B9E" w:rsidRPr="00C9795B" w:rsidRDefault="00B11B9E" w:rsidP="00F300C6">
      <w:pPr>
        <w:spacing w:after="0" w:line="360" w:lineRule="auto"/>
        <w:ind w:firstLine="708"/>
        <w:jc w:val="both"/>
        <w:rPr>
          <w:rFonts w:ascii="Times New Roman" w:hAnsi="Times New Roman" w:cs="Times New Roman"/>
          <w:sz w:val="28"/>
          <w:szCs w:val="28"/>
          <w:lang w:val="uk-UA" w:eastAsia="ru-RU"/>
        </w:rPr>
      </w:pPr>
    </w:p>
    <w:p w14:paraId="1CC7737C" w14:textId="77777777" w:rsidR="00B975F1" w:rsidRPr="00B975F1" w:rsidRDefault="00B975F1" w:rsidP="00C9795B">
      <w:pPr>
        <w:spacing w:after="0" w:line="360" w:lineRule="auto"/>
        <w:jc w:val="both"/>
        <w:rPr>
          <w:rFonts w:ascii="Times New Roman" w:hAnsi="Times New Roman" w:cs="Times New Roman"/>
          <w:bCs/>
          <w:sz w:val="28"/>
          <w:szCs w:val="28"/>
          <w:lang w:val="uk-UA" w:eastAsia="ru-RU"/>
        </w:rPr>
      </w:pPr>
    </w:p>
    <w:sectPr w:rsidR="00B975F1" w:rsidRPr="00B975F1" w:rsidSect="00320FE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E974CE"/>
    <w:multiLevelType w:val="hybridMultilevel"/>
    <w:tmpl w:val="F37A3B20"/>
    <w:lvl w:ilvl="0" w:tplc="62748D2A">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7B506E11"/>
    <w:multiLevelType w:val="hybridMultilevel"/>
    <w:tmpl w:val="E6947CE4"/>
    <w:lvl w:ilvl="0" w:tplc="84FEAD74">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786652490">
    <w:abstractNumId w:val="0"/>
  </w:num>
  <w:num w:numId="2" w16cid:durableId="2563272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532"/>
    <w:rsid w:val="00050245"/>
    <w:rsid w:val="00091D6D"/>
    <w:rsid w:val="000B4F80"/>
    <w:rsid w:val="0010463F"/>
    <w:rsid w:val="00122C9F"/>
    <w:rsid w:val="001236A1"/>
    <w:rsid w:val="00190AAA"/>
    <w:rsid w:val="001B00AF"/>
    <w:rsid w:val="002049A4"/>
    <w:rsid w:val="00320FE7"/>
    <w:rsid w:val="003274B9"/>
    <w:rsid w:val="003312A4"/>
    <w:rsid w:val="00364AB3"/>
    <w:rsid w:val="00366666"/>
    <w:rsid w:val="00386570"/>
    <w:rsid w:val="003A315C"/>
    <w:rsid w:val="003C5257"/>
    <w:rsid w:val="003D12C4"/>
    <w:rsid w:val="003D141F"/>
    <w:rsid w:val="003D69BE"/>
    <w:rsid w:val="0042006A"/>
    <w:rsid w:val="00442C39"/>
    <w:rsid w:val="00493532"/>
    <w:rsid w:val="004B49BF"/>
    <w:rsid w:val="004D0BEE"/>
    <w:rsid w:val="004F6E8A"/>
    <w:rsid w:val="005711A4"/>
    <w:rsid w:val="00634F00"/>
    <w:rsid w:val="00635C52"/>
    <w:rsid w:val="0068587F"/>
    <w:rsid w:val="006C5856"/>
    <w:rsid w:val="00764694"/>
    <w:rsid w:val="00792CD6"/>
    <w:rsid w:val="007B4E2E"/>
    <w:rsid w:val="007B6903"/>
    <w:rsid w:val="008514DD"/>
    <w:rsid w:val="00862AFC"/>
    <w:rsid w:val="00895D8D"/>
    <w:rsid w:val="008E4333"/>
    <w:rsid w:val="008F09CC"/>
    <w:rsid w:val="009477D5"/>
    <w:rsid w:val="009C1BCA"/>
    <w:rsid w:val="009F51F0"/>
    <w:rsid w:val="00AA5651"/>
    <w:rsid w:val="00AB0039"/>
    <w:rsid w:val="00B02F41"/>
    <w:rsid w:val="00B11B9E"/>
    <w:rsid w:val="00B73448"/>
    <w:rsid w:val="00B85DCC"/>
    <w:rsid w:val="00B975F1"/>
    <w:rsid w:val="00BB09B7"/>
    <w:rsid w:val="00BE6CB3"/>
    <w:rsid w:val="00C859C3"/>
    <w:rsid w:val="00C9795B"/>
    <w:rsid w:val="00CC24D1"/>
    <w:rsid w:val="00CC59EB"/>
    <w:rsid w:val="00CD57ED"/>
    <w:rsid w:val="00CF024E"/>
    <w:rsid w:val="00D564D1"/>
    <w:rsid w:val="00D7285B"/>
    <w:rsid w:val="00DC0C45"/>
    <w:rsid w:val="00E0233D"/>
    <w:rsid w:val="00E37517"/>
    <w:rsid w:val="00EE186F"/>
    <w:rsid w:val="00EF22C8"/>
    <w:rsid w:val="00F300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0A834"/>
  <w15:docId w15:val="{DF866AE0-3820-4D5A-91EF-25A8BE99A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477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564D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next w:val="a"/>
    <w:link w:val="40"/>
    <w:uiPriority w:val="9"/>
    <w:semiHidden/>
    <w:unhideWhenUsed/>
    <w:qFormat/>
    <w:rsid w:val="00B02F4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B02F41"/>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634F00"/>
    <w:pPr>
      <w:ind w:left="720"/>
      <w:contextualSpacing/>
    </w:pPr>
  </w:style>
  <w:style w:type="character" w:customStyle="1" w:styleId="10">
    <w:name w:val="Заголовок 1 Знак"/>
    <w:basedOn w:val="a0"/>
    <w:link w:val="1"/>
    <w:uiPriority w:val="9"/>
    <w:rsid w:val="009477D5"/>
    <w:rPr>
      <w:rFonts w:asciiTheme="majorHAnsi" w:eastAsiaTheme="majorEastAsia" w:hAnsiTheme="majorHAnsi" w:cstheme="majorBidi"/>
      <w:b/>
      <w:bCs/>
      <w:color w:val="365F91" w:themeColor="accent1" w:themeShade="BF"/>
      <w:sz w:val="28"/>
      <w:szCs w:val="28"/>
    </w:rPr>
  </w:style>
  <w:style w:type="character" w:styleId="a4">
    <w:name w:val="Hyperlink"/>
    <w:basedOn w:val="a0"/>
    <w:uiPriority w:val="99"/>
    <w:unhideWhenUsed/>
    <w:rsid w:val="00B85DCC"/>
    <w:rPr>
      <w:color w:val="0000FF" w:themeColor="hyperlink"/>
      <w:u w:val="single"/>
    </w:rPr>
  </w:style>
  <w:style w:type="paragraph" w:styleId="a5">
    <w:name w:val="Normal (Web)"/>
    <w:basedOn w:val="a"/>
    <w:uiPriority w:val="99"/>
    <w:semiHidden/>
    <w:unhideWhenUsed/>
    <w:rsid w:val="00122C9F"/>
    <w:rPr>
      <w:rFonts w:ascii="Times New Roman" w:hAnsi="Times New Roman" w:cs="Times New Roman"/>
      <w:sz w:val="24"/>
      <w:szCs w:val="24"/>
    </w:rPr>
  </w:style>
  <w:style w:type="character" w:customStyle="1" w:styleId="20">
    <w:name w:val="Заголовок 2 Знак"/>
    <w:basedOn w:val="a0"/>
    <w:link w:val="2"/>
    <w:uiPriority w:val="9"/>
    <w:semiHidden/>
    <w:rsid w:val="00D564D1"/>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64232">
      <w:bodyDiv w:val="1"/>
      <w:marLeft w:val="0"/>
      <w:marRight w:val="0"/>
      <w:marTop w:val="0"/>
      <w:marBottom w:val="0"/>
      <w:divBdr>
        <w:top w:val="none" w:sz="0" w:space="0" w:color="auto"/>
        <w:left w:val="none" w:sz="0" w:space="0" w:color="auto"/>
        <w:bottom w:val="none" w:sz="0" w:space="0" w:color="auto"/>
        <w:right w:val="none" w:sz="0" w:space="0" w:color="auto"/>
      </w:divBdr>
    </w:div>
    <w:div w:id="206798779">
      <w:bodyDiv w:val="1"/>
      <w:marLeft w:val="0"/>
      <w:marRight w:val="0"/>
      <w:marTop w:val="0"/>
      <w:marBottom w:val="0"/>
      <w:divBdr>
        <w:top w:val="none" w:sz="0" w:space="0" w:color="auto"/>
        <w:left w:val="none" w:sz="0" w:space="0" w:color="auto"/>
        <w:bottom w:val="none" w:sz="0" w:space="0" w:color="auto"/>
        <w:right w:val="none" w:sz="0" w:space="0" w:color="auto"/>
      </w:divBdr>
    </w:div>
    <w:div w:id="751507618">
      <w:bodyDiv w:val="1"/>
      <w:marLeft w:val="0"/>
      <w:marRight w:val="0"/>
      <w:marTop w:val="0"/>
      <w:marBottom w:val="0"/>
      <w:divBdr>
        <w:top w:val="none" w:sz="0" w:space="0" w:color="auto"/>
        <w:left w:val="none" w:sz="0" w:space="0" w:color="auto"/>
        <w:bottom w:val="none" w:sz="0" w:space="0" w:color="auto"/>
        <w:right w:val="none" w:sz="0" w:space="0" w:color="auto"/>
      </w:divBdr>
    </w:div>
    <w:div w:id="882986241">
      <w:bodyDiv w:val="1"/>
      <w:marLeft w:val="0"/>
      <w:marRight w:val="0"/>
      <w:marTop w:val="0"/>
      <w:marBottom w:val="0"/>
      <w:divBdr>
        <w:top w:val="none" w:sz="0" w:space="0" w:color="auto"/>
        <w:left w:val="none" w:sz="0" w:space="0" w:color="auto"/>
        <w:bottom w:val="none" w:sz="0" w:space="0" w:color="auto"/>
        <w:right w:val="none" w:sz="0" w:space="0" w:color="auto"/>
      </w:divBdr>
    </w:div>
    <w:div w:id="902983081">
      <w:bodyDiv w:val="1"/>
      <w:marLeft w:val="0"/>
      <w:marRight w:val="0"/>
      <w:marTop w:val="0"/>
      <w:marBottom w:val="0"/>
      <w:divBdr>
        <w:top w:val="none" w:sz="0" w:space="0" w:color="auto"/>
        <w:left w:val="none" w:sz="0" w:space="0" w:color="auto"/>
        <w:bottom w:val="none" w:sz="0" w:space="0" w:color="auto"/>
        <w:right w:val="none" w:sz="0" w:space="0" w:color="auto"/>
      </w:divBdr>
    </w:div>
    <w:div w:id="1057704511">
      <w:bodyDiv w:val="1"/>
      <w:marLeft w:val="0"/>
      <w:marRight w:val="0"/>
      <w:marTop w:val="0"/>
      <w:marBottom w:val="0"/>
      <w:divBdr>
        <w:top w:val="none" w:sz="0" w:space="0" w:color="auto"/>
        <w:left w:val="none" w:sz="0" w:space="0" w:color="auto"/>
        <w:bottom w:val="none" w:sz="0" w:space="0" w:color="auto"/>
        <w:right w:val="none" w:sz="0" w:space="0" w:color="auto"/>
      </w:divBdr>
    </w:div>
    <w:div w:id="1194197088">
      <w:bodyDiv w:val="1"/>
      <w:marLeft w:val="0"/>
      <w:marRight w:val="0"/>
      <w:marTop w:val="0"/>
      <w:marBottom w:val="0"/>
      <w:divBdr>
        <w:top w:val="none" w:sz="0" w:space="0" w:color="auto"/>
        <w:left w:val="none" w:sz="0" w:space="0" w:color="auto"/>
        <w:bottom w:val="none" w:sz="0" w:space="0" w:color="auto"/>
        <w:right w:val="none" w:sz="0" w:space="0" w:color="auto"/>
      </w:divBdr>
    </w:div>
    <w:div w:id="1304384036">
      <w:bodyDiv w:val="1"/>
      <w:marLeft w:val="0"/>
      <w:marRight w:val="0"/>
      <w:marTop w:val="0"/>
      <w:marBottom w:val="0"/>
      <w:divBdr>
        <w:top w:val="none" w:sz="0" w:space="0" w:color="auto"/>
        <w:left w:val="none" w:sz="0" w:space="0" w:color="auto"/>
        <w:bottom w:val="none" w:sz="0" w:space="0" w:color="auto"/>
        <w:right w:val="none" w:sz="0" w:space="0" w:color="auto"/>
      </w:divBdr>
    </w:div>
    <w:div w:id="1411735088">
      <w:bodyDiv w:val="1"/>
      <w:marLeft w:val="0"/>
      <w:marRight w:val="0"/>
      <w:marTop w:val="0"/>
      <w:marBottom w:val="0"/>
      <w:divBdr>
        <w:top w:val="none" w:sz="0" w:space="0" w:color="auto"/>
        <w:left w:val="none" w:sz="0" w:space="0" w:color="auto"/>
        <w:bottom w:val="none" w:sz="0" w:space="0" w:color="auto"/>
        <w:right w:val="none" w:sz="0" w:space="0" w:color="auto"/>
      </w:divBdr>
    </w:div>
    <w:div w:id="1412506078">
      <w:bodyDiv w:val="1"/>
      <w:marLeft w:val="0"/>
      <w:marRight w:val="0"/>
      <w:marTop w:val="0"/>
      <w:marBottom w:val="0"/>
      <w:divBdr>
        <w:top w:val="none" w:sz="0" w:space="0" w:color="auto"/>
        <w:left w:val="none" w:sz="0" w:space="0" w:color="auto"/>
        <w:bottom w:val="none" w:sz="0" w:space="0" w:color="auto"/>
        <w:right w:val="none" w:sz="0" w:space="0" w:color="auto"/>
      </w:divBdr>
    </w:div>
    <w:div w:id="1938244871">
      <w:bodyDiv w:val="1"/>
      <w:marLeft w:val="0"/>
      <w:marRight w:val="0"/>
      <w:marTop w:val="0"/>
      <w:marBottom w:val="0"/>
      <w:divBdr>
        <w:top w:val="none" w:sz="0" w:space="0" w:color="auto"/>
        <w:left w:val="none" w:sz="0" w:space="0" w:color="auto"/>
        <w:bottom w:val="none" w:sz="0" w:space="0" w:color="auto"/>
        <w:right w:val="none" w:sz="0" w:space="0" w:color="auto"/>
      </w:divBdr>
    </w:div>
    <w:div w:id="1946958975">
      <w:bodyDiv w:val="1"/>
      <w:marLeft w:val="0"/>
      <w:marRight w:val="0"/>
      <w:marTop w:val="0"/>
      <w:marBottom w:val="0"/>
      <w:divBdr>
        <w:top w:val="none" w:sz="0" w:space="0" w:color="auto"/>
        <w:left w:val="none" w:sz="0" w:space="0" w:color="auto"/>
        <w:bottom w:val="none" w:sz="0" w:space="0" w:color="auto"/>
        <w:right w:val="none" w:sz="0" w:space="0" w:color="auto"/>
      </w:divBdr>
    </w:div>
    <w:div w:id="2118669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sets.cambridge.org/97805211/30219/excerpt/9780521130219_excerpt.pdf" TargetMode="External"/><Relationship Id="rId3" Type="http://schemas.openxmlformats.org/officeDocument/2006/relationships/styles" Target="styles.xml"/><Relationship Id="rId7" Type="http://schemas.openxmlformats.org/officeDocument/2006/relationships/hyperlink" Target="https://gustavorubinoernesto.com/wp-content/uploads/2020/06/H-Douglas-Brown-Principles-of-Language-Learning-and-Teaching.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25128/2415-3605.20.2.2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cml.at/Portals/1/resources/Articles%20and%20publications%20on%20the%20ECML/CLIL_EMIL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5C000B-A745-4FBB-AB91-FC89A313E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5388</Words>
  <Characters>3072</Characters>
  <Application>Microsoft Office Word</Application>
  <DocSecurity>0</DocSecurity>
  <Lines>25</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Гоша</dc:creator>
  <cp:keywords/>
  <dc:description/>
  <cp:lastModifiedBy>Віталій Шевченко</cp:lastModifiedBy>
  <cp:revision>2</cp:revision>
  <dcterms:created xsi:type="dcterms:W3CDTF">2026-06-29T09:40:00Z</dcterms:created>
  <dcterms:modified xsi:type="dcterms:W3CDTF">2026-06-29T09:40:00Z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75c2a3aa-3fed-4384-bec0-03f7b11a390d</vt:lpwstr>
  </property>
</Properties>
</file>