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772B1A" w14:textId="68CDF531" w:rsidR="0055457B" w:rsidRPr="002F1547" w:rsidRDefault="0055457B" w:rsidP="0055457B">
      <w:pPr>
        <w:shd w:val="clear" w:color="auto" w:fill="FFFFFF"/>
        <w:rPr>
          <w:b/>
          <w:sz w:val="24"/>
          <w:szCs w:val="24"/>
          <w:lang w:val="uk-UA"/>
        </w:rPr>
      </w:pPr>
      <w:r w:rsidRPr="002F1547">
        <w:rPr>
          <w:b/>
          <w:sz w:val="24"/>
          <w:szCs w:val="24"/>
          <w:lang w:val="uk-UA"/>
        </w:rPr>
        <w:t xml:space="preserve">УДК </w:t>
      </w:r>
      <w:r w:rsidR="008242BE" w:rsidRPr="008242BE">
        <w:rPr>
          <w:b/>
          <w:sz w:val="24"/>
          <w:szCs w:val="24"/>
          <w:lang w:val="uk-UA"/>
        </w:rPr>
        <w:t>004.738.5:343.9:17</w:t>
      </w:r>
    </w:p>
    <w:p w14:paraId="53BD2F01" w14:textId="6640D2F7" w:rsidR="0055457B" w:rsidRPr="002F1547" w:rsidRDefault="0055457B" w:rsidP="0055457B">
      <w:pPr>
        <w:shd w:val="clear" w:color="auto" w:fill="FFFFFF"/>
        <w:jc w:val="right"/>
        <w:rPr>
          <w:b/>
          <w:sz w:val="24"/>
          <w:szCs w:val="24"/>
          <w:lang w:val="uk-UA"/>
        </w:rPr>
      </w:pPr>
      <w:r w:rsidRPr="002F1547">
        <w:rPr>
          <w:sz w:val="26"/>
          <w:szCs w:val="24"/>
          <w:vertAlign w:val="superscript"/>
          <w:lang w:val="uk-UA"/>
        </w:rPr>
        <w:t>1</w:t>
      </w:r>
      <w:r w:rsidR="001D6315">
        <w:rPr>
          <w:b/>
          <w:sz w:val="24"/>
          <w:szCs w:val="24"/>
          <w:lang w:val="uk-UA"/>
        </w:rPr>
        <w:t>А.С. Карнаушенко</w:t>
      </w:r>
    </w:p>
    <w:p w14:paraId="1BC119CD" w14:textId="7C87D4FB" w:rsidR="0055457B" w:rsidRPr="002F1547" w:rsidRDefault="0055457B" w:rsidP="0055457B">
      <w:pPr>
        <w:shd w:val="clear" w:color="auto" w:fill="FFFFFF"/>
        <w:jc w:val="right"/>
        <w:rPr>
          <w:lang w:val="uk-UA"/>
        </w:rPr>
      </w:pPr>
      <w:r w:rsidRPr="002F1547">
        <w:rPr>
          <w:vertAlign w:val="superscript"/>
          <w:lang w:val="uk-UA"/>
        </w:rPr>
        <w:t>1</w:t>
      </w:r>
      <w:r w:rsidR="001D6315">
        <w:rPr>
          <w:lang w:val="uk-UA"/>
        </w:rPr>
        <w:t>Херсонський державний аграрно-економічний університет</w:t>
      </w:r>
    </w:p>
    <w:p w14:paraId="6D52374A" w14:textId="5B263060" w:rsidR="001A3D7C" w:rsidRPr="001D6315" w:rsidRDefault="001D6315" w:rsidP="0055457B">
      <w:pPr>
        <w:shd w:val="clear" w:color="auto" w:fill="FFFFFF"/>
        <w:jc w:val="right"/>
      </w:pPr>
      <w:r>
        <w:rPr>
          <w:lang w:val="en-US"/>
        </w:rPr>
        <w:t>allakarnaushenko</w:t>
      </w:r>
      <w:r w:rsidRPr="001D6315">
        <w:t>88@</w:t>
      </w:r>
      <w:r>
        <w:rPr>
          <w:lang w:val="en-US"/>
        </w:rPr>
        <w:t>gmail</w:t>
      </w:r>
      <w:r w:rsidRPr="001D6315">
        <w:t>.</w:t>
      </w:r>
      <w:r>
        <w:rPr>
          <w:lang w:val="en-US"/>
        </w:rPr>
        <w:t>com</w:t>
      </w:r>
    </w:p>
    <w:p w14:paraId="062016BC" w14:textId="77777777" w:rsidR="001A3D7C" w:rsidRPr="002F1547" w:rsidRDefault="001A3D7C" w:rsidP="0055457B">
      <w:pPr>
        <w:shd w:val="clear" w:color="auto" w:fill="FFFFFF"/>
        <w:jc w:val="right"/>
        <w:rPr>
          <w:lang w:val="uk-UA"/>
        </w:rPr>
      </w:pPr>
    </w:p>
    <w:p w14:paraId="73D7833C" w14:textId="34756600" w:rsidR="0055457B" w:rsidRDefault="001D6315" w:rsidP="0055457B">
      <w:pPr>
        <w:shd w:val="clear" w:color="auto" w:fill="FFFFFF"/>
        <w:jc w:val="center"/>
        <w:rPr>
          <w:b/>
          <w:bCs/>
          <w:sz w:val="24"/>
          <w:szCs w:val="24"/>
          <w:lang w:val="uk-UA"/>
        </w:rPr>
      </w:pPr>
      <w:r w:rsidRPr="001D6315">
        <w:rPr>
          <w:b/>
          <w:bCs/>
          <w:sz w:val="24"/>
          <w:szCs w:val="24"/>
          <w:lang w:val="uk-UA"/>
        </w:rPr>
        <w:t>ПРОБЛЕМА АНОНІМНОСТІ У БЛОКЧЕЙН-СИСТЕМАХ З ПОГЛЯДУ ЕТИКИ ТА ПРАВА</w:t>
      </w:r>
    </w:p>
    <w:p w14:paraId="30B7E621" w14:textId="77777777" w:rsidR="001D6315" w:rsidRPr="002F1547" w:rsidRDefault="001D6315" w:rsidP="0055457B">
      <w:pPr>
        <w:shd w:val="clear" w:color="auto" w:fill="FFFFFF"/>
        <w:jc w:val="center"/>
        <w:rPr>
          <w:sz w:val="22"/>
          <w:szCs w:val="22"/>
          <w:lang w:val="uk-UA"/>
        </w:rPr>
      </w:pPr>
    </w:p>
    <w:p w14:paraId="73358D23" w14:textId="5061016F" w:rsidR="00FF08BA" w:rsidRDefault="00A362EA" w:rsidP="00F95B63">
      <w:pPr>
        <w:ind w:firstLine="567"/>
        <w:jc w:val="both"/>
        <w:rPr>
          <w:sz w:val="24"/>
          <w:szCs w:val="24"/>
          <w:lang w:val="uk-UA"/>
        </w:rPr>
      </w:pPr>
      <w:r w:rsidRPr="00A362EA">
        <w:rPr>
          <w:sz w:val="24"/>
          <w:szCs w:val="24"/>
          <w:lang w:val="uk-UA"/>
        </w:rPr>
        <w:t>Стрімкий розвиток блокчейн-технологій та впровадження криптовалют у глобальну фінансову систему</w:t>
      </w:r>
      <w:bookmarkStart w:id="0" w:name="_GoBack"/>
      <w:bookmarkEnd w:id="0"/>
      <w:r w:rsidRPr="00A362EA">
        <w:rPr>
          <w:sz w:val="24"/>
          <w:szCs w:val="24"/>
          <w:lang w:val="uk-UA"/>
        </w:rPr>
        <w:t xml:space="preserve"> зумовили появу нових викликів для правового регулювання, етики цифрових взаємодій та безпеки. Однією з ключових проблем є пошук балансу між правом на анонімність і необхідністю запобігання злочинам, що прикриваються конфіденційністю. В умовах зростання кіберзагроз та розширення впливу децентралізованих технологій проблема правового й морального обґрунтування анонімності в блокчейн-середовищі набуває особливої ваги.</w:t>
      </w:r>
      <w:r>
        <w:rPr>
          <w:sz w:val="24"/>
          <w:szCs w:val="24"/>
          <w:lang w:val="uk-UA"/>
        </w:rPr>
        <w:t xml:space="preserve"> </w:t>
      </w:r>
    </w:p>
    <w:p w14:paraId="68D567C6" w14:textId="0FA46C9B" w:rsidR="00633978" w:rsidRPr="00633978" w:rsidRDefault="00633978" w:rsidP="00633978">
      <w:pPr>
        <w:ind w:firstLine="567"/>
        <w:jc w:val="both"/>
        <w:rPr>
          <w:sz w:val="24"/>
          <w:szCs w:val="24"/>
          <w:lang w:val="uk-UA"/>
        </w:rPr>
      </w:pPr>
      <w:r w:rsidRPr="00633978">
        <w:rPr>
          <w:sz w:val="24"/>
          <w:szCs w:val="24"/>
          <w:lang w:val="uk-UA"/>
        </w:rPr>
        <w:t>У цифрову епоху анонімність стала однією з ключових тем у диск</w:t>
      </w:r>
      <w:r w:rsidR="004477C8">
        <w:rPr>
          <w:sz w:val="24"/>
          <w:szCs w:val="24"/>
          <w:lang w:val="uk-UA"/>
        </w:rPr>
        <w:t xml:space="preserve">усіях про інформаційну безпеку, </w:t>
      </w:r>
      <w:r w:rsidRPr="00633978">
        <w:rPr>
          <w:sz w:val="24"/>
          <w:szCs w:val="24"/>
          <w:lang w:val="uk-UA"/>
        </w:rPr>
        <w:t>цифрові права людини та функціонування глобальних фінансових систем. У науковому дискурсі анонімність (від грец. anōnymos — безіменний) означає стан, за якого особа не може бути ідентифікована серед певної множини суб’єктів</w:t>
      </w:r>
      <w:r w:rsidR="00934A9F">
        <w:rPr>
          <w:sz w:val="24"/>
          <w:szCs w:val="24"/>
          <w:lang w:val="uk-UA"/>
        </w:rPr>
        <w:t xml:space="preserve"> </w:t>
      </w:r>
      <w:r w:rsidR="00934A9F" w:rsidRPr="00934A9F">
        <w:rPr>
          <w:sz w:val="24"/>
          <w:szCs w:val="24"/>
        </w:rPr>
        <w:t>[1]</w:t>
      </w:r>
      <w:r w:rsidRPr="00633978">
        <w:rPr>
          <w:sz w:val="24"/>
          <w:szCs w:val="24"/>
          <w:lang w:val="uk-UA"/>
        </w:rPr>
        <w:t>. У цифрових системах до цього поняття додається технічна складова: анонімність користувача означає неможливість пов’язати певну дію або транзакцію з конкретною фізичною особою.</w:t>
      </w:r>
      <w:r w:rsidR="004477C8">
        <w:rPr>
          <w:sz w:val="24"/>
          <w:szCs w:val="24"/>
          <w:lang w:val="uk-UA"/>
        </w:rPr>
        <w:t xml:space="preserve"> </w:t>
      </w:r>
      <w:r w:rsidRPr="00633978">
        <w:rPr>
          <w:sz w:val="24"/>
          <w:szCs w:val="24"/>
          <w:lang w:val="uk-UA"/>
        </w:rPr>
        <w:t>У свою чергу, псевдоанонімність передбачає, що користувач має унікальний ідентифікатор (наприклад, криптографічну адресу), який формально не містить персональних даних, але за певних умов може бути співвіднесений з реальною особою, зокрема в результаті аналітичної роботи чи розкриття інформації через сторонні сервіси</w:t>
      </w:r>
      <w:r w:rsidR="00934A9F" w:rsidRPr="00934A9F">
        <w:rPr>
          <w:sz w:val="24"/>
          <w:szCs w:val="24"/>
          <w:lang w:val="uk-UA"/>
        </w:rPr>
        <w:t xml:space="preserve"> [1]</w:t>
      </w:r>
      <w:r w:rsidRPr="00633978">
        <w:rPr>
          <w:sz w:val="24"/>
          <w:szCs w:val="24"/>
          <w:lang w:val="uk-UA"/>
        </w:rPr>
        <w:t>.</w:t>
      </w:r>
      <w:r w:rsidR="00065145">
        <w:rPr>
          <w:sz w:val="24"/>
          <w:szCs w:val="24"/>
          <w:lang w:val="uk-UA"/>
        </w:rPr>
        <w:t xml:space="preserve"> </w:t>
      </w:r>
      <w:r w:rsidRPr="00633978">
        <w:rPr>
          <w:sz w:val="24"/>
          <w:szCs w:val="24"/>
          <w:lang w:val="uk-UA"/>
        </w:rPr>
        <w:t xml:space="preserve">Конфіденційність стосується ширшого поняття контролю над власною інформацією та її доступністю третім сторонам. У блокчейн-середовищі конфіденційність </w:t>
      </w:r>
      <w:r w:rsidR="00A362EA">
        <w:rPr>
          <w:sz w:val="24"/>
          <w:szCs w:val="24"/>
          <w:lang w:val="uk-UA"/>
        </w:rPr>
        <w:t>забезпечуєт</w:t>
      </w:r>
      <w:r w:rsidR="0055245B">
        <w:rPr>
          <w:sz w:val="24"/>
          <w:szCs w:val="24"/>
          <w:lang w:val="uk-UA"/>
        </w:rPr>
        <w:t>ь</w:t>
      </w:r>
      <w:r w:rsidR="00A362EA">
        <w:rPr>
          <w:sz w:val="24"/>
          <w:szCs w:val="24"/>
          <w:lang w:val="uk-UA"/>
        </w:rPr>
        <w:t>ся</w:t>
      </w:r>
      <w:r w:rsidRPr="00633978">
        <w:rPr>
          <w:sz w:val="24"/>
          <w:szCs w:val="24"/>
          <w:lang w:val="uk-UA"/>
        </w:rPr>
        <w:t xml:space="preserve"> </w:t>
      </w:r>
      <w:r w:rsidR="0055245B">
        <w:rPr>
          <w:sz w:val="24"/>
          <w:szCs w:val="24"/>
          <w:lang w:val="uk-UA"/>
        </w:rPr>
        <w:t>як системою</w:t>
      </w:r>
      <w:r w:rsidRPr="00633978">
        <w:rPr>
          <w:sz w:val="24"/>
          <w:szCs w:val="24"/>
          <w:lang w:val="uk-UA"/>
        </w:rPr>
        <w:t>, так і поведінкою користувачів.</w:t>
      </w:r>
      <w:r w:rsidR="00065145">
        <w:rPr>
          <w:sz w:val="24"/>
          <w:szCs w:val="24"/>
          <w:lang w:val="uk-UA"/>
        </w:rPr>
        <w:t xml:space="preserve"> </w:t>
      </w:r>
      <w:r w:rsidRPr="00633978">
        <w:rPr>
          <w:sz w:val="24"/>
          <w:szCs w:val="24"/>
          <w:lang w:val="uk-UA"/>
        </w:rPr>
        <w:t>Прагнення до анонімності має давні філософські, політичні й правові корені</w:t>
      </w:r>
      <w:r w:rsidR="00934A9F" w:rsidRPr="00934A9F">
        <w:rPr>
          <w:sz w:val="24"/>
          <w:szCs w:val="24"/>
          <w:lang w:val="uk-UA"/>
        </w:rPr>
        <w:t xml:space="preserve"> [</w:t>
      </w:r>
      <w:r w:rsidR="00934A9F" w:rsidRPr="00AE5D66">
        <w:rPr>
          <w:sz w:val="24"/>
          <w:szCs w:val="24"/>
          <w:lang w:val="uk-UA"/>
        </w:rPr>
        <w:t>2</w:t>
      </w:r>
      <w:r w:rsidR="00934A9F" w:rsidRPr="00934A9F">
        <w:rPr>
          <w:sz w:val="24"/>
          <w:szCs w:val="24"/>
          <w:lang w:val="uk-UA"/>
        </w:rPr>
        <w:t>]</w:t>
      </w:r>
      <w:r w:rsidRPr="00633978">
        <w:rPr>
          <w:sz w:val="24"/>
          <w:szCs w:val="24"/>
          <w:lang w:val="uk-UA"/>
        </w:rPr>
        <w:t>. В умовах обмежень свободи слова, анонімність часто виступала гарантією особистої безпеки та вільного висловлення думок. У XX ст</w:t>
      </w:r>
      <w:r w:rsidR="00AE5D66" w:rsidRPr="00AE5D66">
        <w:rPr>
          <w:sz w:val="24"/>
          <w:szCs w:val="24"/>
        </w:rPr>
        <w:t>.</w:t>
      </w:r>
      <w:r w:rsidRPr="00633978">
        <w:rPr>
          <w:sz w:val="24"/>
          <w:szCs w:val="24"/>
          <w:lang w:val="uk-UA"/>
        </w:rPr>
        <w:t xml:space="preserve"> захист приватності є важливим компонентом демократичних прав і свобод, зокрема в контексті розвитку масових медіа й інформаційних технологій.</w:t>
      </w:r>
      <w:r w:rsidR="00656E0D">
        <w:rPr>
          <w:sz w:val="24"/>
          <w:szCs w:val="24"/>
          <w:lang w:val="uk-UA"/>
        </w:rPr>
        <w:t xml:space="preserve"> </w:t>
      </w:r>
      <w:r w:rsidRPr="00633978">
        <w:rPr>
          <w:sz w:val="24"/>
          <w:szCs w:val="24"/>
          <w:lang w:val="uk-UA"/>
        </w:rPr>
        <w:t>З поширенням Інтернету та соціальних мереж з’явилися нові виміри цифрової ідентичності, а водночас — нові ризики зловживання даними.</w:t>
      </w:r>
      <w:r w:rsidR="0055245B">
        <w:rPr>
          <w:sz w:val="24"/>
          <w:szCs w:val="24"/>
          <w:lang w:val="uk-UA"/>
        </w:rPr>
        <w:t xml:space="preserve"> На цій основі </w:t>
      </w:r>
      <w:r w:rsidRPr="00633978">
        <w:rPr>
          <w:sz w:val="24"/>
          <w:szCs w:val="24"/>
          <w:lang w:val="uk-UA"/>
        </w:rPr>
        <w:t>анонімність дедалі більше сприймається не лише як захисний механізм, але й як виклик для безпеки, особливо у фінансовій сфері.</w:t>
      </w:r>
    </w:p>
    <w:p w14:paraId="4CA8C54A" w14:textId="25C01D96" w:rsidR="00A66153" w:rsidRDefault="00633978" w:rsidP="00F95B63">
      <w:pPr>
        <w:ind w:firstLine="567"/>
        <w:jc w:val="both"/>
        <w:rPr>
          <w:sz w:val="24"/>
          <w:szCs w:val="24"/>
          <w:lang w:val="uk-UA"/>
        </w:rPr>
      </w:pPr>
      <w:r w:rsidRPr="00633978">
        <w:rPr>
          <w:sz w:val="24"/>
          <w:szCs w:val="24"/>
          <w:lang w:val="uk-UA"/>
        </w:rPr>
        <w:t>Блокчейн не є однозначно анонімною або прозорою</w:t>
      </w:r>
      <w:r w:rsidR="00AE5D66" w:rsidRPr="003B0329">
        <w:rPr>
          <w:sz w:val="24"/>
          <w:szCs w:val="24"/>
        </w:rPr>
        <w:t xml:space="preserve"> </w:t>
      </w:r>
      <w:r w:rsidR="00AE5D66">
        <w:rPr>
          <w:sz w:val="24"/>
          <w:szCs w:val="24"/>
          <w:lang w:val="en-US"/>
        </w:rPr>
        <w:t>[1; 2]</w:t>
      </w:r>
      <w:r w:rsidRPr="00633978">
        <w:rPr>
          <w:sz w:val="24"/>
          <w:szCs w:val="24"/>
          <w:lang w:val="uk-UA"/>
        </w:rPr>
        <w:t>. У більшості публічних блокчейнів, таких як Bitcoin чи Ethereum, транзакції записуються у відкритий реєстр, доступний для всіх учасників мережі. Проте замість реальних імен користувачів в реєстрі фігурують криптографічні адреси, що формально забезпечує псевдоанонімність.</w:t>
      </w:r>
      <w:r w:rsidR="00CD574E">
        <w:rPr>
          <w:sz w:val="24"/>
          <w:szCs w:val="24"/>
          <w:lang w:val="uk-UA"/>
        </w:rPr>
        <w:t xml:space="preserve"> </w:t>
      </w:r>
      <w:r w:rsidRPr="00633978">
        <w:rPr>
          <w:sz w:val="24"/>
          <w:szCs w:val="24"/>
          <w:lang w:val="uk-UA"/>
        </w:rPr>
        <w:t>Однак за допомогою блокчейн-аналізу можливо простежити структури транзакцій, зв’язки між адресами, а іноді й встановити зв’язок із конкретними особами, якщо дані були деанонімізовані, наприклад, через централізовані біржі.</w:t>
      </w:r>
      <w:r w:rsidR="00CD574E">
        <w:rPr>
          <w:sz w:val="24"/>
          <w:szCs w:val="24"/>
          <w:lang w:val="uk-UA"/>
        </w:rPr>
        <w:t xml:space="preserve"> Розробляються</w:t>
      </w:r>
      <w:r w:rsidRPr="00633978">
        <w:rPr>
          <w:sz w:val="24"/>
          <w:szCs w:val="24"/>
          <w:lang w:val="uk-UA"/>
        </w:rPr>
        <w:t xml:space="preserve"> блокчейн-проєкти,</w:t>
      </w:r>
      <w:r w:rsidR="00CD574E">
        <w:rPr>
          <w:sz w:val="24"/>
          <w:szCs w:val="24"/>
          <w:lang w:val="uk-UA"/>
        </w:rPr>
        <w:t xml:space="preserve"> які</w:t>
      </w:r>
      <w:r w:rsidRPr="00633978">
        <w:rPr>
          <w:sz w:val="24"/>
          <w:szCs w:val="24"/>
          <w:lang w:val="uk-UA"/>
        </w:rPr>
        <w:t xml:space="preserve"> орієнтовані на максимальний рівень анонімності. Так, Monero використовує протоколи кільцевих підписів (ring signatures), одноразові адреси (stealth addresses) та технологію RingCT для приховування суми переказу. Zcash впроваджує zk-SNARKs — криптографічні докази з нульовим розголошенням, які дозволяють перевіряти транзакції без розкриття інформації про відправника, отримувача чи суму.</w:t>
      </w:r>
      <w:r w:rsidR="0075529A" w:rsidRPr="0075529A">
        <w:rPr>
          <w:lang w:val="uk-UA"/>
        </w:rPr>
        <w:t xml:space="preserve"> </w:t>
      </w:r>
      <w:r w:rsidR="00E9563F">
        <w:rPr>
          <w:sz w:val="24"/>
          <w:szCs w:val="24"/>
          <w:lang w:val="uk-UA"/>
        </w:rPr>
        <w:t>Т</w:t>
      </w:r>
      <w:r w:rsidR="00E9563F" w:rsidRPr="00E9563F">
        <w:rPr>
          <w:sz w:val="24"/>
          <w:szCs w:val="24"/>
          <w:lang w:val="uk-UA"/>
        </w:rPr>
        <w:t xml:space="preserve">ехнічні особливості реалізації анонімності в блокчейн-середовищі дозволяють забезпечити високий рівень конфіденційності фінансових операцій, що принципово змінює уявлення про безпеку, контроль і прозорість у цифрових фінансах. Однак така трансформація неминуче викликає реакцію з боку держав і міжнародних інституцій, адже розмиття ідентифікаційних меж створює передумови для ухилення від юридичної відповідальності, ускладнює розслідування злочинів та загрожує стабільності фінансових систем. </w:t>
      </w:r>
    </w:p>
    <w:p w14:paraId="4E18789B" w14:textId="226E9464" w:rsidR="00430C75" w:rsidRPr="00430C75" w:rsidRDefault="00430C75" w:rsidP="00430C75">
      <w:pPr>
        <w:ind w:firstLine="567"/>
        <w:jc w:val="both"/>
        <w:rPr>
          <w:sz w:val="24"/>
          <w:szCs w:val="24"/>
          <w:lang w:val="uk-UA"/>
        </w:rPr>
      </w:pPr>
      <w:r w:rsidRPr="00430C75">
        <w:rPr>
          <w:sz w:val="24"/>
          <w:szCs w:val="24"/>
          <w:lang w:val="uk-UA"/>
        </w:rPr>
        <w:lastRenderedPageBreak/>
        <w:t>Інтенсивне поширення блокчейн-технологій, особливо у фінансовій сфері, спричинило суттєві виклики для правових систем держав. Традиційні механізми регулювання фінансових транзакцій виявилися недостатніми для забезпечення належного контролю за операціями, що здійснюються із застосуванням криптовалют, особливо у випадках, коли користувачі залишаються анонімними або псевдоанонімними. У зв’язку з цим у різних юрисдикціях спостерігається поступова еволюція правового підходу до децентралізованих цифрових активів.</w:t>
      </w:r>
      <w:r w:rsidR="001776D4">
        <w:rPr>
          <w:sz w:val="24"/>
          <w:szCs w:val="24"/>
          <w:lang w:val="uk-UA"/>
        </w:rPr>
        <w:t xml:space="preserve"> </w:t>
      </w:r>
      <w:r w:rsidRPr="00430C75">
        <w:rPr>
          <w:sz w:val="24"/>
          <w:szCs w:val="24"/>
          <w:lang w:val="uk-UA"/>
        </w:rPr>
        <w:t>Фінансова група з протидії відмиванню коштів (FATF) є ключовим міжнародним органом, що розробляє глобальні стандарти щодо протидії легалізації кримінальних доходів та фін</w:t>
      </w:r>
      <w:r w:rsidR="001776D4">
        <w:rPr>
          <w:sz w:val="24"/>
          <w:szCs w:val="24"/>
          <w:lang w:val="uk-UA"/>
        </w:rPr>
        <w:t>ансуванню тероризму. У 2019 р.</w:t>
      </w:r>
      <w:r w:rsidRPr="00430C75">
        <w:rPr>
          <w:sz w:val="24"/>
          <w:szCs w:val="24"/>
          <w:lang w:val="uk-UA"/>
        </w:rPr>
        <w:t xml:space="preserve"> FATF опублікувала рекомендації щодо регулювання постачальників віртуальних активів (Virtual Asset Service Providers, VASP), згідно з якими вони повинні впроваджувати процедури ідентифікації клієнтів (KYC), моніторингу транзакцій та обміну інформацією з державними органами.</w:t>
      </w:r>
      <w:r w:rsidR="0052228D">
        <w:rPr>
          <w:sz w:val="24"/>
          <w:szCs w:val="24"/>
          <w:lang w:val="uk-UA"/>
        </w:rPr>
        <w:t xml:space="preserve"> Важливим </w:t>
      </w:r>
      <w:r w:rsidRPr="00430C75">
        <w:rPr>
          <w:sz w:val="24"/>
          <w:szCs w:val="24"/>
          <w:lang w:val="uk-UA"/>
        </w:rPr>
        <w:t>елементом цих рекомендацій є «правила подорожі» (travel rule), яка зобов’язує VASP передавати інформацію про відправника та отримувача під час транзакцій, що перевищують визначений поріг. Ці норми безпосередньо конфліктують із принципами конфіденційності, які реалізуються</w:t>
      </w:r>
      <w:r w:rsidR="0052228D">
        <w:rPr>
          <w:sz w:val="24"/>
          <w:szCs w:val="24"/>
          <w:lang w:val="uk-UA"/>
        </w:rPr>
        <w:t xml:space="preserve"> у приватних блокчейн-системах. </w:t>
      </w:r>
      <w:r w:rsidRPr="00430C75">
        <w:rPr>
          <w:sz w:val="24"/>
          <w:szCs w:val="24"/>
          <w:lang w:val="uk-UA"/>
        </w:rPr>
        <w:t>У США регуляторна база щодо криптовалют базується на поєднанні норм Комісії з цінних паперів та бірж (SEC), Комісії з торгівлі товарними ф’ючерсами (CFTC), Служби внутрішніх доходів (IRS) та ін</w:t>
      </w:r>
      <w:r w:rsidR="0052228D">
        <w:rPr>
          <w:sz w:val="24"/>
          <w:szCs w:val="24"/>
          <w:lang w:val="uk-UA"/>
        </w:rPr>
        <w:t>.</w:t>
      </w:r>
      <w:r w:rsidRPr="00430C75">
        <w:rPr>
          <w:sz w:val="24"/>
          <w:szCs w:val="24"/>
          <w:lang w:val="uk-UA"/>
        </w:rPr>
        <w:t xml:space="preserve"> органів. Криптовалютні біржі зобов’язані впроваджувати KYC/AML-політики, а діяльність, пов’язана з конфіденційними монетами (як-от Monero), часто потрапляє під пильний контроль або обмеження.</w:t>
      </w:r>
      <w:r w:rsidR="00DB6C4C">
        <w:rPr>
          <w:sz w:val="24"/>
          <w:szCs w:val="24"/>
          <w:lang w:val="uk-UA"/>
        </w:rPr>
        <w:t xml:space="preserve"> </w:t>
      </w:r>
      <w:r w:rsidRPr="00430C75">
        <w:rPr>
          <w:sz w:val="24"/>
          <w:szCs w:val="24"/>
          <w:lang w:val="uk-UA"/>
        </w:rPr>
        <w:t xml:space="preserve">Європейський Союз демонструє </w:t>
      </w:r>
      <w:r w:rsidR="00DB6C4C">
        <w:rPr>
          <w:sz w:val="24"/>
          <w:szCs w:val="24"/>
          <w:lang w:val="uk-UA"/>
        </w:rPr>
        <w:t xml:space="preserve">розробку </w:t>
      </w:r>
      <w:r w:rsidRPr="00430C75">
        <w:rPr>
          <w:sz w:val="24"/>
          <w:szCs w:val="24"/>
          <w:lang w:val="uk-UA"/>
        </w:rPr>
        <w:t>стандартизаці</w:t>
      </w:r>
      <w:r w:rsidR="00DB6C4C">
        <w:rPr>
          <w:sz w:val="24"/>
          <w:szCs w:val="24"/>
          <w:lang w:val="uk-UA"/>
        </w:rPr>
        <w:t>ї щодо</w:t>
      </w:r>
      <w:r w:rsidRPr="00430C75">
        <w:rPr>
          <w:sz w:val="24"/>
          <w:szCs w:val="24"/>
          <w:lang w:val="uk-UA"/>
        </w:rPr>
        <w:t xml:space="preserve"> регулювання криптовалютн</w:t>
      </w:r>
      <w:r w:rsidR="00DB6C4C">
        <w:rPr>
          <w:sz w:val="24"/>
          <w:szCs w:val="24"/>
          <w:lang w:val="uk-UA"/>
        </w:rPr>
        <w:t>ого ринку. Прийнятий у 2023 р.</w:t>
      </w:r>
      <w:r w:rsidRPr="00430C75">
        <w:rPr>
          <w:sz w:val="24"/>
          <w:szCs w:val="24"/>
          <w:lang w:val="uk-UA"/>
        </w:rPr>
        <w:t xml:space="preserve"> Регламент про ринки криптоактивів (Markets in Crypto-Assets Regulation, MiCA) встановлює єдині правила для емітентів криптоактивів, а також вимагає реєстрації та ліцензування постачальників послуг, що працюють із віртуальними активами. Крім того, в межах П’ятої та Шостої директив ЄС з протидії відмиванню коштів передбачено посилення вимог до ідентифікації клієнтів криптоплатформ.</w:t>
      </w:r>
      <w:r w:rsidR="000D2022">
        <w:rPr>
          <w:sz w:val="24"/>
          <w:szCs w:val="24"/>
          <w:lang w:val="uk-UA"/>
        </w:rPr>
        <w:t xml:space="preserve"> </w:t>
      </w:r>
      <w:r w:rsidRPr="00430C75">
        <w:rPr>
          <w:sz w:val="24"/>
          <w:szCs w:val="24"/>
          <w:lang w:val="uk-UA"/>
        </w:rPr>
        <w:t xml:space="preserve">У Китаї, навпаки, спостерігається жорстка заборонна: майнінг криптовалют та будь-яка діяльність, пов’язана з </w:t>
      </w:r>
      <w:r w:rsidR="000D2022">
        <w:rPr>
          <w:sz w:val="24"/>
          <w:szCs w:val="24"/>
          <w:lang w:val="uk-UA"/>
        </w:rPr>
        <w:t xml:space="preserve">їх обігом, визнані незаконними, що </w:t>
      </w:r>
      <w:r w:rsidRPr="00430C75">
        <w:rPr>
          <w:sz w:val="24"/>
          <w:szCs w:val="24"/>
          <w:lang w:val="uk-UA"/>
        </w:rPr>
        <w:t>пояснюється як прагненням зберегти контроль над фінансовою системою, так і спробою просування власної централізованої цифрової валюти — цифрового юаня.</w:t>
      </w:r>
      <w:r w:rsidR="000D2022">
        <w:rPr>
          <w:sz w:val="24"/>
          <w:szCs w:val="24"/>
          <w:lang w:val="uk-UA"/>
        </w:rPr>
        <w:t xml:space="preserve"> </w:t>
      </w:r>
      <w:r w:rsidRPr="00430C75">
        <w:rPr>
          <w:sz w:val="24"/>
          <w:szCs w:val="24"/>
          <w:lang w:val="uk-UA"/>
        </w:rPr>
        <w:t xml:space="preserve">В Україні ситуація поступово змінюється у напрямку легалізації криптовалютного ринку. </w:t>
      </w:r>
      <w:r w:rsidR="000D2022">
        <w:rPr>
          <w:sz w:val="24"/>
          <w:szCs w:val="24"/>
          <w:lang w:val="uk-UA"/>
        </w:rPr>
        <w:t>ЗУ</w:t>
      </w:r>
      <w:r w:rsidRPr="00430C75">
        <w:rPr>
          <w:sz w:val="24"/>
          <w:szCs w:val="24"/>
          <w:lang w:val="uk-UA"/>
        </w:rPr>
        <w:t xml:space="preserve"> «Про віртуальні активи» (2021) визначає правовий статус віртуальних активів та суб’єктів, що здійснюють операції з ними, але ще не набрав повної чинності</w:t>
      </w:r>
      <w:r w:rsidR="003B0329" w:rsidRPr="003B0329">
        <w:rPr>
          <w:sz w:val="24"/>
          <w:szCs w:val="24"/>
        </w:rPr>
        <w:t xml:space="preserve"> [3; 4]</w:t>
      </w:r>
      <w:r w:rsidRPr="00430C75">
        <w:rPr>
          <w:sz w:val="24"/>
          <w:szCs w:val="24"/>
          <w:lang w:val="uk-UA"/>
        </w:rPr>
        <w:t>. Закон передбачає обов’язкову верифікацію користувачів, ліцензування постачальників послуг та нагляд за дотриманням вимог AML.</w:t>
      </w:r>
    </w:p>
    <w:p w14:paraId="3210D740" w14:textId="0765E969" w:rsidR="008D4E5F" w:rsidRPr="008D4E5F" w:rsidRDefault="00430C75" w:rsidP="008D4E5F">
      <w:pPr>
        <w:ind w:firstLine="567"/>
        <w:jc w:val="both"/>
        <w:rPr>
          <w:sz w:val="24"/>
          <w:szCs w:val="24"/>
          <w:lang w:val="uk-UA"/>
        </w:rPr>
      </w:pPr>
      <w:r w:rsidRPr="00430C75">
        <w:rPr>
          <w:sz w:val="24"/>
          <w:szCs w:val="24"/>
          <w:lang w:val="uk-UA"/>
        </w:rPr>
        <w:t>Врегулювання анонімності в блокчейн-системах становить серйозний виклик для правоза</w:t>
      </w:r>
      <w:r w:rsidR="00A16963">
        <w:rPr>
          <w:sz w:val="24"/>
          <w:szCs w:val="24"/>
          <w:lang w:val="uk-UA"/>
        </w:rPr>
        <w:t>хисної</w:t>
      </w:r>
      <w:r w:rsidRPr="00430C75">
        <w:rPr>
          <w:sz w:val="24"/>
          <w:szCs w:val="24"/>
          <w:lang w:val="uk-UA"/>
        </w:rPr>
        <w:t xml:space="preserve"> практики, оскільки традиційні інструменти державного контролю не передбачають існування децентралізованих систем без єдиного центру відповідальності</w:t>
      </w:r>
      <w:r w:rsidR="003B0329" w:rsidRPr="003B0329">
        <w:rPr>
          <w:sz w:val="24"/>
          <w:szCs w:val="24"/>
        </w:rPr>
        <w:t xml:space="preserve"> [2]</w:t>
      </w:r>
      <w:r w:rsidRPr="00430C75">
        <w:rPr>
          <w:sz w:val="24"/>
          <w:szCs w:val="24"/>
          <w:lang w:val="uk-UA"/>
        </w:rPr>
        <w:t>. Відсутність централізованого посередника унеможливлює застосування стандартних процедур судового втручання або адміністративного регулювання.</w:t>
      </w:r>
      <w:r w:rsidR="00A16963">
        <w:rPr>
          <w:sz w:val="24"/>
          <w:szCs w:val="24"/>
          <w:lang w:val="uk-UA"/>
        </w:rPr>
        <w:t xml:space="preserve"> </w:t>
      </w:r>
      <w:r w:rsidRPr="00430C75">
        <w:rPr>
          <w:sz w:val="24"/>
          <w:szCs w:val="24"/>
          <w:lang w:val="uk-UA"/>
        </w:rPr>
        <w:t>Дилема полягає в необхідності збереження фундаментальних прав людини, зокрема права на приватне життя (ст. 8 Конвенції про захист прав людини та основоположних свобод), водночас забезпечуючи можливості для протидії фінансовим злочинам. Таким чином, постає необхідність створення гнучких правових механізмів, що дозволяють зберігати анонімність на базовому рівні, але передбачають можливість деанонімізації за рішенням суду або в рамках міжнародного співробітництва</w:t>
      </w:r>
      <w:r w:rsidR="003B0329">
        <w:rPr>
          <w:sz w:val="24"/>
          <w:szCs w:val="24"/>
          <w:lang w:val="uk-UA"/>
        </w:rPr>
        <w:t xml:space="preserve"> </w:t>
      </w:r>
      <w:r w:rsidR="003B0329" w:rsidRPr="003B0329">
        <w:rPr>
          <w:sz w:val="24"/>
          <w:szCs w:val="24"/>
          <w:lang w:val="uk-UA"/>
        </w:rPr>
        <w:t>[</w:t>
      </w:r>
      <w:r w:rsidR="003B0329" w:rsidRPr="00D05BE3">
        <w:rPr>
          <w:sz w:val="24"/>
          <w:szCs w:val="24"/>
          <w:lang w:val="uk-UA"/>
        </w:rPr>
        <w:t>4</w:t>
      </w:r>
      <w:r w:rsidR="003B0329" w:rsidRPr="003B0329">
        <w:rPr>
          <w:sz w:val="24"/>
          <w:szCs w:val="24"/>
          <w:lang w:val="uk-UA"/>
        </w:rPr>
        <w:t>]</w:t>
      </w:r>
      <w:r w:rsidRPr="00430C75">
        <w:rPr>
          <w:sz w:val="24"/>
          <w:szCs w:val="24"/>
          <w:lang w:val="uk-UA"/>
        </w:rPr>
        <w:t>.</w:t>
      </w:r>
      <w:r w:rsidR="008D4E5F" w:rsidRPr="008D4E5F">
        <w:rPr>
          <w:lang w:val="uk-UA"/>
        </w:rPr>
        <w:t xml:space="preserve"> </w:t>
      </w:r>
      <w:r w:rsidR="008D4E5F" w:rsidRPr="008D4E5F">
        <w:rPr>
          <w:sz w:val="24"/>
          <w:szCs w:val="24"/>
          <w:lang w:val="uk-UA"/>
        </w:rPr>
        <w:t xml:space="preserve">Хоча правові механізми поступово адаптуються до нової технологічної реальності, правовий інструментарій не може </w:t>
      </w:r>
      <w:r w:rsidR="00D20CD9">
        <w:rPr>
          <w:sz w:val="24"/>
          <w:szCs w:val="24"/>
          <w:lang w:val="uk-UA"/>
        </w:rPr>
        <w:t>врегулювати</w:t>
      </w:r>
      <w:r w:rsidR="008D4E5F" w:rsidRPr="008D4E5F">
        <w:rPr>
          <w:sz w:val="24"/>
          <w:szCs w:val="24"/>
          <w:lang w:val="uk-UA"/>
        </w:rPr>
        <w:t xml:space="preserve"> анонімність у цифровому просторі. Застосування формального регулювання нерідко вступає в суперечність із моральними цінностями, демократичними правами людини та культурними уявленнями про приватність. У зв’язку з цим постає необхідність етичного осмислення феномену цифрової анонімності, з урахуванням її потенціалу як для захисту прав особи, так і для порушення публічних інтересів.</w:t>
      </w:r>
    </w:p>
    <w:p w14:paraId="2C2FF09E" w14:textId="56BFECBD" w:rsidR="008D4E5F" w:rsidRDefault="008D4E5F" w:rsidP="008D4E5F">
      <w:pPr>
        <w:ind w:firstLine="567"/>
        <w:jc w:val="both"/>
        <w:rPr>
          <w:sz w:val="24"/>
          <w:szCs w:val="24"/>
          <w:lang w:val="uk-UA"/>
        </w:rPr>
      </w:pPr>
      <w:r w:rsidRPr="008D4E5F">
        <w:rPr>
          <w:sz w:val="24"/>
          <w:szCs w:val="24"/>
          <w:lang w:val="uk-UA"/>
        </w:rPr>
        <w:t xml:space="preserve">Анонімність у цифровому середовищі — зокрема в блокчейн-системах — становить не лише технічну та правову, а й глибоку етичну проблему. Її суть полягає у зіткненні двох </w:t>
      </w:r>
      <w:r w:rsidRPr="008D4E5F">
        <w:rPr>
          <w:sz w:val="24"/>
          <w:szCs w:val="24"/>
          <w:lang w:val="uk-UA"/>
        </w:rPr>
        <w:lastRenderedPageBreak/>
        <w:t>фундаментальних цінностей: свободи особи та безпеки суспільства. У сучасному інформаційному світі, де обсяг персональних даних, що обробляються і зберігаються, постійно зростає, прагнення користувачів до конфіденційності набуває особливого значення</w:t>
      </w:r>
      <w:r w:rsidR="00D05BE3" w:rsidRPr="00D05BE3">
        <w:rPr>
          <w:sz w:val="24"/>
          <w:szCs w:val="24"/>
          <w:lang w:val="uk-UA"/>
        </w:rPr>
        <w:t xml:space="preserve"> [1]</w:t>
      </w:r>
      <w:r w:rsidRPr="008D4E5F">
        <w:rPr>
          <w:sz w:val="24"/>
          <w:szCs w:val="24"/>
          <w:lang w:val="uk-UA"/>
        </w:rPr>
        <w:t xml:space="preserve">. Водночас абсолютна анонімність може бути використана для уникнення відповідальності, що викликає </w:t>
      </w:r>
      <w:r w:rsidR="00DB3E48">
        <w:rPr>
          <w:sz w:val="24"/>
          <w:szCs w:val="24"/>
          <w:lang w:val="uk-UA"/>
        </w:rPr>
        <w:t xml:space="preserve">серйозні моральні застереження. </w:t>
      </w:r>
      <w:r w:rsidRPr="008D4E5F">
        <w:rPr>
          <w:sz w:val="24"/>
          <w:szCs w:val="24"/>
          <w:lang w:val="uk-UA"/>
        </w:rPr>
        <w:t>З етичної точки зору, право на приватність є однією з базових передумов гідності та автономії особи. Особливої актуальності це набуває в умовах авторитарних політичних режимів, де доступ до анонімних фінансових інструментів може слугувати засобом захисту від політичних переслідувань, цензури або дискримінації. У такому контексті блокчейн із високим рівнем конфіденційності може виступати не лише як технічний інструмент, а як механізм забезпечення базових прав і свобод.</w:t>
      </w:r>
      <w:r w:rsidR="00DB3E48">
        <w:rPr>
          <w:sz w:val="24"/>
          <w:szCs w:val="24"/>
          <w:lang w:val="uk-UA"/>
        </w:rPr>
        <w:t xml:space="preserve"> </w:t>
      </w:r>
      <w:r w:rsidRPr="008D4E5F">
        <w:rPr>
          <w:sz w:val="24"/>
          <w:szCs w:val="24"/>
          <w:lang w:val="uk-UA"/>
        </w:rPr>
        <w:t>Крім того, у глобальному інформаційному суспільстві, де приватна інформація легко стає предметом обробки, аналізу та комерціалізації, технології, що захищають анонімність, сприймаються як форма етичного опору надмірному контрол</w:t>
      </w:r>
      <w:r w:rsidR="00DB3E48">
        <w:rPr>
          <w:sz w:val="24"/>
          <w:szCs w:val="24"/>
          <w:lang w:val="uk-UA"/>
        </w:rPr>
        <w:t xml:space="preserve">ю з боку корпорацій чи держави. </w:t>
      </w:r>
      <w:r w:rsidRPr="008D4E5F">
        <w:rPr>
          <w:sz w:val="24"/>
          <w:szCs w:val="24"/>
          <w:lang w:val="uk-UA"/>
        </w:rPr>
        <w:t>Проте повна анонімність також створює умови для аморальної чи кримінальної поведінки. Блокчейн-системи з високим рівнем конфіденційності можуть бути використані для фінансування тероризму, відмивання коштів, торгівлі наркотиками чи зброєю, а також інших форм злочинної діяльності. У такому випадку анонімність перестає бути засобом захисту свободи, натомість перетворюючись на інструмент безкарності.</w:t>
      </w:r>
      <w:r w:rsidR="002955FE">
        <w:rPr>
          <w:sz w:val="24"/>
          <w:szCs w:val="24"/>
          <w:lang w:val="uk-UA"/>
        </w:rPr>
        <w:t xml:space="preserve"> </w:t>
      </w:r>
      <w:r w:rsidRPr="008D4E5F">
        <w:rPr>
          <w:sz w:val="24"/>
          <w:szCs w:val="24"/>
          <w:lang w:val="uk-UA"/>
        </w:rPr>
        <w:t xml:space="preserve">З моральної </w:t>
      </w:r>
      <w:r w:rsidR="002955FE">
        <w:rPr>
          <w:sz w:val="24"/>
          <w:szCs w:val="24"/>
          <w:lang w:val="uk-UA"/>
        </w:rPr>
        <w:t>точки зору</w:t>
      </w:r>
      <w:r w:rsidRPr="008D4E5F">
        <w:rPr>
          <w:sz w:val="24"/>
          <w:szCs w:val="24"/>
          <w:lang w:val="uk-UA"/>
        </w:rPr>
        <w:t xml:space="preserve"> постає дилема: чи має особа право на абсолютну приватність, якщо її дії можуть завдати шкоди іншим членам суспільства? Як зазначають деякі етичні теорії, свобода не є безмежною — її межа проходить там, де вона вступає в конфлікт і</w:t>
      </w:r>
      <w:r w:rsidR="002955FE">
        <w:rPr>
          <w:sz w:val="24"/>
          <w:szCs w:val="24"/>
          <w:lang w:val="uk-UA"/>
        </w:rPr>
        <w:t xml:space="preserve">з безпекою та добробутом інших. </w:t>
      </w:r>
      <w:r w:rsidRPr="008D4E5F">
        <w:rPr>
          <w:sz w:val="24"/>
          <w:szCs w:val="24"/>
          <w:lang w:val="uk-UA"/>
        </w:rPr>
        <w:t>У пошуку розв’язання цієї дилеми необхідно звертатися до концептуального розрізнення між етикою свободи, яка наголошує на праві особи діяти без зовнішнього втручання, та етикою відповідальності, яка вимагає врахування наслідків власної поведінки для інших. У випадку блокчейн-технологій це означає необхідність розробки моделей, які дозволяють зберігати конфіденційність, але не унеможливлюють контроль у випадках обґрунтованої загрози.</w:t>
      </w:r>
      <w:r w:rsidR="002955FE">
        <w:rPr>
          <w:sz w:val="24"/>
          <w:szCs w:val="24"/>
          <w:lang w:val="uk-UA"/>
        </w:rPr>
        <w:t xml:space="preserve"> </w:t>
      </w:r>
      <w:r w:rsidRPr="008D4E5F">
        <w:rPr>
          <w:sz w:val="24"/>
          <w:szCs w:val="24"/>
          <w:lang w:val="uk-UA"/>
        </w:rPr>
        <w:t>Окрему роль відіграє формування етичної культури серед користувачів. Усвідомлення того, що цифрова анонімність є привілеєм, а не індульгенцією, здатне вплинути на зниження рівня зловживань. У цьому контексті важливими стають освіта, просвіта, етичне лідерство з боку спільнот розробників та відповідальна поведінка учасників цифрових систем.</w:t>
      </w:r>
    </w:p>
    <w:p w14:paraId="1FCEBD60" w14:textId="093FEAF8" w:rsidR="004914BE" w:rsidRPr="008D4E5F" w:rsidRDefault="00397C89" w:rsidP="00397C89">
      <w:pPr>
        <w:ind w:firstLine="567"/>
        <w:jc w:val="both"/>
        <w:rPr>
          <w:sz w:val="24"/>
          <w:szCs w:val="24"/>
          <w:lang w:val="uk-UA"/>
        </w:rPr>
      </w:pPr>
      <w:r w:rsidRPr="00397C89">
        <w:rPr>
          <w:sz w:val="24"/>
          <w:szCs w:val="24"/>
          <w:lang w:val="uk-UA"/>
        </w:rPr>
        <w:t>Анонімність у блокчейн-системах є багатовимірним явищем, що поєднує технічні, правові та етичні аспекти. З одного боку, вона забезпечує захист приватності користувачів, особливо в умовах цифрових загроз і політичних обмежень. З іншого — створює ризики зловживань, таких як відмивання коштів, фінансування тероризму чи уникнення відповідальності.</w:t>
      </w:r>
      <w:r>
        <w:rPr>
          <w:sz w:val="24"/>
          <w:szCs w:val="24"/>
          <w:lang w:val="uk-UA"/>
        </w:rPr>
        <w:t xml:space="preserve"> </w:t>
      </w:r>
      <w:r w:rsidRPr="00397C89">
        <w:rPr>
          <w:sz w:val="24"/>
          <w:szCs w:val="24"/>
          <w:lang w:val="uk-UA"/>
        </w:rPr>
        <w:t>Правові системи намагаються адаптуватися до нових викликів шляхом впровадження вимог до верифікації користувачів і контролю за транзакціями, однак зберегти баланс між регулюванням і правом на приватність досі складно.</w:t>
      </w:r>
      <w:r>
        <w:rPr>
          <w:sz w:val="24"/>
          <w:szCs w:val="24"/>
          <w:lang w:val="uk-UA"/>
        </w:rPr>
        <w:t xml:space="preserve"> </w:t>
      </w:r>
      <w:r w:rsidRPr="00397C89">
        <w:rPr>
          <w:sz w:val="24"/>
          <w:szCs w:val="24"/>
          <w:lang w:val="uk-UA"/>
        </w:rPr>
        <w:t>Етично важливим є усвідомлення меж свободи в цифровому просторі: анонімність не повинна ставати інструментом безкарності. Перспективними є моделі з умовною деанонімізацією за рішенням суду, а також розвиток етичної відповідальності серед користувачів.</w:t>
      </w:r>
      <w:r>
        <w:rPr>
          <w:sz w:val="24"/>
          <w:szCs w:val="24"/>
          <w:lang w:val="uk-UA"/>
        </w:rPr>
        <w:t xml:space="preserve"> </w:t>
      </w:r>
      <w:r w:rsidRPr="00397C89">
        <w:rPr>
          <w:sz w:val="24"/>
          <w:szCs w:val="24"/>
          <w:lang w:val="uk-UA"/>
        </w:rPr>
        <w:t>Розв’язання проблеми анонімності у блокчейні потребує комплексного підходу, що враховує як захист прав особи, так і безпеку суспільства.</w:t>
      </w:r>
    </w:p>
    <w:p w14:paraId="416AE8A9" w14:textId="77777777" w:rsidR="00661082" w:rsidRDefault="00661082" w:rsidP="009906C3">
      <w:pPr>
        <w:ind w:firstLine="567"/>
        <w:jc w:val="both"/>
        <w:rPr>
          <w:lang w:val="uk-UA"/>
        </w:rPr>
      </w:pPr>
      <w:r w:rsidRPr="00661082">
        <w:rPr>
          <w:lang w:val="uk-UA"/>
        </w:rPr>
        <w:t>ЛІТЕРАТУРА</w:t>
      </w:r>
      <w:r>
        <w:rPr>
          <w:lang w:val="uk-UA"/>
        </w:rPr>
        <w:t>:</w:t>
      </w:r>
    </w:p>
    <w:p w14:paraId="2FE6F991" w14:textId="77777777" w:rsidR="00934A9F" w:rsidRDefault="00B52A8E" w:rsidP="00934A9F">
      <w:pPr>
        <w:pStyle w:val="a3"/>
        <w:numPr>
          <w:ilvl w:val="0"/>
          <w:numId w:val="3"/>
        </w:numPr>
        <w:ind w:left="0" w:firstLine="0"/>
        <w:jc w:val="both"/>
        <w:rPr>
          <w:lang w:val="uk-UA"/>
        </w:rPr>
      </w:pPr>
      <w:r w:rsidRPr="00B52A8E">
        <w:rPr>
          <w:lang w:val="uk-UA"/>
        </w:rPr>
        <w:t xml:space="preserve">Buterin, V., Illum, J., Nadler, M., Schär, F., &amp; Soleimani, A. (2023). Blockchain privacy and regulatory compliance: Towards a practical equilibrium. </w:t>
      </w:r>
      <w:r w:rsidRPr="00764B9C">
        <w:rPr>
          <w:i/>
          <w:lang w:val="uk-UA"/>
        </w:rPr>
        <w:t>Blockchain: Research and Applications,</w:t>
      </w:r>
      <w:r w:rsidRPr="00B52A8E">
        <w:rPr>
          <w:lang w:val="uk-UA"/>
        </w:rPr>
        <w:t xml:space="preserve"> 5(1), 100176. https://doi.org/10.1016/j.bcra.2023.100176</w:t>
      </w:r>
      <w:r w:rsidR="00934A9F" w:rsidRPr="00934A9F">
        <w:rPr>
          <w:lang w:val="uk-UA"/>
        </w:rPr>
        <w:t xml:space="preserve"> </w:t>
      </w:r>
    </w:p>
    <w:p w14:paraId="0A6D7365" w14:textId="6328D101" w:rsidR="00934A9F" w:rsidRDefault="00934A9F" w:rsidP="00934A9F">
      <w:pPr>
        <w:pStyle w:val="a3"/>
        <w:numPr>
          <w:ilvl w:val="0"/>
          <w:numId w:val="3"/>
        </w:numPr>
        <w:ind w:left="0" w:firstLine="0"/>
        <w:jc w:val="both"/>
        <w:rPr>
          <w:lang w:val="uk-UA"/>
        </w:rPr>
      </w:pPr>
      <w:r w:rsidRPr="002602D6">
        <w:rPr>
          <w:lang w:val="uk-UA"/>
        </w:rPr>
        <w:t xml:space="preserve">Atlam, H. F., Ekuri, N., Azad, M. A., &amp; Lallie, H. S. (2024). Blockchain forensics: A systematic literature review of techniques, applications, challenges, and future directions. </w:t>
      </w:r>
      <w:r w:rsidRPr="00764B9C">
        <w:rPr>
          <w:i/>
          <w:lang w:val="uk-UA"/>
        </w:rPr>
        <w:t>Electronics,</w:t>
      </w:r>
      <w:r w:rsidRPr="002602D6">
        <w:rPr>
          <w:lang w:val="uk-UA"/>
        </w:rPr>
        <w:t xml:space="preserve"> 13(17), 3568. </w:t>
      </w:r>
      <w:hyperlink r:id="rId7" w:history="1">
        <w:r w:rsidRPr="003C71D7">
          <w:rPr>
            <w:rStyle w:val="a9"/>
            <w:lang w:val="uk-UA"/>
          </w:rPr>
          <w:t>https://doi.org/10.3390/electronics13173568</w:t>
        </w:r>
      </w:hyperlink>
    </w:p>
    <w:p w14:paraId="792D11A6" w14:textId="2F2564E3" w:rsidR="00A15AF1" w:rsidRPr="00A15AF1" w:rsidRDefault="00A15AF1" w:rsidP="00B52A8E">
      <w:pPr>
        <w:pStyle w:val="a3"/>
        <w:numPr>
          <w:ilvl w:val="0"/>
          <w:numId w:val="3"/>
        </w:numPr>
        <w:ind w:left="0" w:firstLine="0"/>
        <w:jc w:val="both"/>
        <w:rPr>
          <w:lang w:val="uk-UA"/>
        </w:rPr>
      </w:pPr>
      <w:r w:rsidRPr="00A15AF1">
        <w:rPr>
          <w:lang w:val="uk-UA"/>
        </w:rPr>
        <w:t>Карнаушенко  А.С.</w:t>
      </w:r>
      <w:r w:rsidR="00764B9C">
        <w:rPr>
          <w:lang w:val="uk-UA"/>
        </w:rPr>
        <w:t xml:space="preserve"> (2022).</w:t>
      </w:r>
      <w:r w:rsidRPr="00A15AF1">
        <w:rPr>
          <w:lang w:val="uk-UA"/>
        </w:rPr>
        <w:t xml:space="preserve"> Ефективність впровадження технології блокчейн в страхува</w:t>
      </w:r>
      <w:r w:rsidR="00764B9C">
        <w:rPr>
          <w:lang w:val="uk-UA"/>
        </w:rPr>
        <w:t xml:space="preserve">ння. </w:t>
      </w:r>
      <w:r w:rsidR="00764B9C" w:rsidRPr="00764B9C">
        <w:rPr>
          <w:i/>
          <w:lang w:val="uk-UA"/>
        </w:rPr>
        <w:t>Ефективна економіка</w:t>
      </w:r>
      <w:r w:rsidR="00764B9C">
        <w:rPr>
          <w:lang w:val="uk-UA"/>
        </w:rPr>
        <w:t xml:space="preserve">. </w:t>
      </w:r>
      <w:r w:rsidRPr="00A15AF1">
        <w:rPr>
          <w:lang w:val="uk-UA"/>
        </w:rPr>
        <w:t>№11. https://www.nayka.com.ua/index.php/ee/article/view/739</w:t>
      </w:r>
    </w:p>
    <w:p w14:paraId="3BBFF478" w14:textId="03903D50" w:rsidR="00E271F5" w:rsidRPr="00D05BE3" w:rsidRDefault="00D372EF" w:rsidP="0093736F">
      <w:pPr>
        <w:numPr>
          <w:ilvl w:val="0"/>
          <w:numId w:val="3"/>
        </w:numPr>
        <w:shd w:val="clear" w:color="auto" w:fill="FFFFFF"/>
        <w:ind w:left="0" w:firstLine="0"/>
        <w:jc w:val="both"/>
        <w:rPr>
          <w:lang w:val="uk-UA"/>
        </w:rPr>
      </w:pPr>
      <w:r w:rsidRPr="00D05BE3">
        <w:rPr>
          <w:lang w:val="uk-UA"/>
        </w:rPr>
        <w:t>Karnaushenko, A., Tanklevska, N., Povod Т., Kononenko, L., &amp; Savchenko, V.</w:t>
      </w:r>
      <w:r w:rsidR="00764B9C" w:rsidRPr="00D05BE3">
        <w:rPr>
          <w:lang w:val="uk-UA"/>
        </w:rPr>
        <w:t xml:space="preserve"> (2023).</w:t>
      </w:r>
      <w:r w:rsidRPr="00D05BE3">
        <w:rPr>
          <w:lang w:val="uk-UA"/>
        </w:rPr>
        <w:tab/>
        <w:t xml:space="preserve">Implementation of blockchain technology in agriculture: fashionable trends or requirements of the modern economy. </w:t>
      </w:r>
      <w:r w:rsidRPr="00D05BE3">
        <w:rPr>
          <w:i/>
          <w:lang w:val="uk-UA"/>
        </w:rPr>
        <w:t>Agricultural and Resource Economics: Interna</w:t>
      </w:r>
      <w:r w:rsidR="00764B9C" w:rsidRPr="00D05BE3">
        <w:rPr>
          <w:i/>
          <w:lang w:val="uk-UA"/>
        </w:rPr>
        <w:t>tional Scientific E-Journal</w:t>
      </w:r>
      <w:r w:rsidRPr="00D05BE3">
        <w:rPr>
          <w:i/>
          <w:lang w:val="uk-UA"/>
        </w:rPr>
        <w:t>,</w:t>
      </w:r>
      <w:r w:rsidRPr="00D05BE3">
        <w:rPr>
          <w:lang w:val="uk-UA"/>
        </w:rPr>
        <w:t xml:space="preserve"> 9(3), с. 124-149. https://doi.org/10.51599/are.2023.09.03.06 </w:t>
      </w:r>
    </w:p>
    <w:sectPr w:rsidR="00E271F5" w:rsidRPr="00D05BE3" w:rsidSect="00304B5C">
      <w:pgSz w:w="11906" w:h="16838" w:code="9"/>
      <w:pgMar w:top="1134" w:right="1134" w:bottom="1134" w:left="1134" w:header="709" w:footer="709" w:gutter="0"/>
      <w:pgNumType w:start="2"/>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149A3" w14:textId="77777777" w:rsidR="006C7519" w:rsidRDefault="006C7519" w:rsidP="00C37B70">
      <w:r>
        <w:separator/>
      </w:r>
    </w:p>
  </w:endnote>
  <w:endnote w:type="continuationSeparator" w:id="0">
    <w:p w14:paraId="30E16E64" w14:textId="77777777" w:rsidR="006C7519" w:rsidRDefault="006C7519" w:rsidP="00C37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23A809" w14:textId="77777777" w:rsidR="006C7519" w:rsidRDefault="006C7519" w:rsidP="00C37B70">
      <w:r>
        <w:separator/>
      </w:r>
    </w:p>
  </w:footnote>
  <w:footnote w:type="continuationSeparator" w:id="0">
    <w:p w14:paraId="6EA21792" w14:textId="77777777" w:rsidR="006C7519" w:rsidRDefault="006C7519" w:rsidP="00C37B7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890AFD"/>
    <w:multiLevelType w:val="hybridMultilevel"/>
    <w:tmpl w:val="88D4A1D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2931018F"/>
    <w:multiLevelType w:val="singleLevel"/>
    <w:tmpl w:val="CDA6DC04"/>
    <w:lvl w:ilvl="0">
      <w:start w:val="1"/>
      <w:numFmt w:val="decimal"/>
      <w:lvlText w:val="%1."/>
      <w:legacy w:legacy="1" w:legacySpace="0" w:legacyIndent="350"/>
      <w:lvlJc w:val="left"/>
      <w:rPr>
        <w:rFonts w:ascii="Times New Roman" w:hAnsi="Times New Roman" w:cs="Times New Roman" w:hint="default"/>
      </w:rPr>
    </w:lvl>
  </w:abstractNum>
  <w:abstractNum w:abstractNumId="2" w15:restartNumberingAfterBreak="0">
    <w:nsid w:val="563D26BA"/>
    <w:multiLevelType w:val="hybridMultilevel"/>
    <w:tmpl w:val="CD2001F0"/>
    <w:lvl w:ilvl="0" w:tplc="CC40533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777F037C"/>
    <w:multiLevelType w:val="hybridMultilevel"/>
    <w:tmpl w:val="BF28E1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ttachedTemplate r:id="rId1"/>
  <w:defaultTabStop w:val="708"/>
  <w:hyphenationZone w:val="425"/>
  <w:evenAndOddHeaders/>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F88"/>
    <w:rsid w:val="0000038F"/>
    <w:rsid w:val="00065145"/>
    <w:rsid w:val="00065850"/>
    <w:rsid w:val="000A7529"/>
    <w:rsid w:val="000C45E9"/>
    <w:rsid w:val="000C6EAF"/>
    <w:rsid w:val="000D2022"/>
    <w:rsid w:val="001776D4"/>
    <w:rsid w:val="001A3D7C"/>
    <w:rsid w:val="001D6315"/>
    <w:rsid w:val="00211911"/>
    <w:rsid w:val="002602D6"/>
    <w:rsid w:val="002955FE"/>
    <w:rsid w:val="002A15FF"/>
    <w:rsid w:val="002C7203"/>
    <w:rsid w:val="002F1547"/>
    <w:rsid w:val="00304B5C"/>
    <w:rsid w:val="00305D3B"/>
    <w:rsid w:val="003751CA"/>
    <w:rsid w:val="00397C89"/>
    <w:rsid w:val="003B0329"/>
    <w:rsid w:val="00400F88"/>
    <w:rsid w:val="004133DE"/>
    <w:rsid w:val="004213ED"/>
    <w:rsid w:val="00430C75"/>
    <w:rsid w:val="004477C8"/>
    <w:rsid w:val="00473C4A"/>
    <w:rsid w:val="004914BE"/>
    <w:rsid w:val="0052228D"/>
    <w:rsid w:val="00537E31"/>
    <w:rsid w:val="0055245B"/>
    <w:rsid w:val="0055457B"/>
    <w:rsid w:val="005604E0"/>
    <w:rsid w:val="005A767D"/>
    <w:rsid w:val="00633978"/>
    <w:rsid w:val="006474B1"/>
    <w:rsid w:val="00656E0D"/>
    <w:rsid w:val="00661082"/>
    <w:rsid w:val="006B75A7"/>
    <w:rsid w:val="006C7519"/>
    <w:rsid w:val="00703CA4"/>
    <w:rsid w:val="00704DCB"/>
    <w:rsid w:val="00736AE8"/>
    <w:rsid w:val="007475EA"/>
    <w:rsid w:val="0075529A"/>
    <w:rsid w:val="00764B9C"/>
    <w:rsid w:val="00796435"/>
    <w:rsid w:val="007A07EE"/>
    <w:rsid w:val="007D7F6C"/>
    <w:rsid w:val="008242BE"/>
    <w:rsid w:val="00835E0D"/>
    <w:rsid w:val="00873C10"/>
    <w:rsid w:val="008D4E5F"/>
    <w:rsid w:val="009157E2"/>
    <w:rsid w:val="00927756"/>
    <w:rsid w:val="00934A9F"/>
    <w:rsid w:val="009906C3"/>
    <w:rsid w:val="009E375F"/>
    <w:rsid w:val="00A15AF1"/>
    <w:rsid w:val="00A16963"/>
    <w:rsid w:val="00A362EA"/>
    <w:rsid w:val="00A66153"/>
    <w:rsid w:val="00AC170C"/>
    <w:rsid w:val="00AE5D66"/>
    <w:rsid w:val="00B52A8E"/>
    <w:rsid w:val="00BB600A"/>
    <w:rsid w:val="00C37B70"/>
    <w:rsid w:val="00C63BF3"/>
    <w:rsid w:val="00C72E99"/>
    <w:rsid w:val="00C7623D"/>
    <w:rsid w:val="00CB5634"/>
    <w:rsid w:val="00CD574E"/>
    <w:rsid w:val="00D05BE3"/>
    <w:rsid w:val="00D20CD9"/>
    <w:rsid w:val="00D372EF"/>
    <w:rsid w:val="00D74590"/>
    <w:rsid w:val="00DB3E48"/>
    <w:rsid w:val="00DB6C4C"/>
    <w:rsid w:val="00DF4056"/>
    <w:rsid w:val="00E271F5"/>
    <w:rsid w:val="00E9563F"/>
    <w:rsid w:val="00F239C9"/>
    <w:rsid w:val="00F95B63"/>
    <w:rsid w:val="00FF08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18D564"/>
  <w15:chartTrackingRefBased/>
  <w15:docId w15:val="{F516F98F-B4D5-481C-841A-9D64EB0CC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457B"/>
    <w:pPr>
      <w:widowControl w:val="0"/>
      <w:autoSpaceDE w:val="0"/>
      <w:autoSpaceDN w:val="0"/>
      <w:adjustRightInd w:val="0"/>
    </w:pPr>
    <w:rPr>
      <w:rFonts w:eastAsia="Times New Roman"/>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06C3"/>
    <w:pPr>
      <w:ind w:left="720"/>
      <w:contextualSpacing/>
    </w:pPr>
  </w:style>
  <w:style w:type="table" w:styleId="a4">
    <w:name w:val="Table Grid"/>
    <w:basedOn w:val="a1"/>
    <w:rsid w:val="00473C4A"/>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nepNormal">
    <w:name w:val="Jnep_Normal"/>
    <w:link w:val="JnepNormal0"/>
    <w:rsid w:val="002F1547"/>
    <w:pPr>
      <w:widowControl w:val="0"/>
      <w:ind w:firstLine="284"/>
      <w:jc w:val="both"/>
    </w:pPr>
    <w:rPr>
      <w:rFonts w:ascii="Century Schoolbook" w:eastAsia="Times New Roman" w:hAnsi="Century Schoolbook"/>
      <w:sz w:val="18"/>
      <w:lang w:val="ru-RU" w:eastAsia="ru-RU"/>
    </w:rPr>
  </w:style>
  <w:style w:type="character" w:customStyle="1" w:styleId="JnepNormal0">
    <w:name w:val="Jnep_Normal Знак"/>
    <w:link w:val="JnepNormal"/>
    <w:rsid w:val="002F1547"/>
    <w:rPr>
      <w:rFonts w:ascii="Century Schoolbook" w:eastAsia="Times New Roman" w:hAnsi="Century Schoolbook" w:cs="Times New Roman"/>
      <w:sz w:val="18"/>
      <w:szCs w:val="20"/>
      <w:lang w:eastAsia="ru-RU"/>
    </w:rPr>
  </w:style>
  <w:style w:type="paragraph" w:customStyle="1" w:styleId="JnepEmptystring">
    <w:name w:val="Jnep_Empty_string"/>
    <w:basedOn w:val="JnepNormal"/>
    <w:rsid w:val="002F1547"/>
    <w:rPr>
      <w:sz w:val="12"/>
    </w:rPr>
  </w:style>
  <w:style w:type="paragraph" w:customStyle="1" w:styleId="JnepCaption">
    <w:name w:val="Jnep_Caption"/>
    <w:basedOn w:val="JnepNormal"/>
    <w:link w:val="JnepCaption0"/>
    <w:rsid w:val="002F1547"/>
    <w:pPr>
      <w:ind w:firstLine="0"/>
    </w:pPr>
    <w:rPr>
      <w:sz w:val="16"/>
    </w:rPr>
  </w:style>
  <w:style w:type="character" w:customStyle="1" w:styleId="JnepCaption0">
    <w:name w:val="Jnep_Caption Знак"/>
    <w:link w:val="JnepCaption"/>
    <w:rsid w:val="002F1547"/>
    <w:rPr>
      <w:rFonts w:ascii="Century Schoolbook" w:eastAsia="Times New Roman" w:hAnsi="Century Schoolbook" w:cs="Times New Roman"/>
      <w:sz w:val="16"/>
      <w:szCs w:val="20"/>
      <w:lang w:eastAsia="ru-RU"/>
    </w:rPr>
  </w:style>
  <w:style w:type="paragraph" w:styleId="a5">
    <w:name w:val="header"/>
    <w:basedOn w:val="a"/>
    <w:link w:val="a6"/>
    <w:uiPriority w:val="99"/>
    <w:unhideWhenUsed/>
    <w:rsid w:val="00C37B70"/>
    <w:pPr>
      <w:tabs>
        <w:tab w:val="center" w:pos="4819"/>
        <w:tab w:val="right" w:pos="9639"/>
      </w:tabs>
    </w:pPr>
  </w:style>
  <w:style w:type="character" w:customStyle="1" w:styleId="a6">
    <w:name w:val="Верхний колонтитул Знак"/>
    <w:link w:val="a5"/>
    <w:uiPriority w:val="99"/>
    <w:rsid w:val="00C37B70"/>
    <w:rPr>
      <w:rFonts w:eastAsia="Times New Roman" w:cs="Times New Roman"/>
      <w:sz w:val="20"/>
      <w:szCs w:val="20"/>
      <w:lang w:eastAsia="ru-RU"/>
    </w:rPr>
  </w:style>
  <w:style w:type="paragraph" w:styleId="a7">
    <w:name w:val="footer"/>
    <w:basedOn w:val="a"/>
    <w:link w:val="a8"/>
    <w:uiPriority w:val="99"/>
    <w:unhideWhenUsed/>
    <w:rsid w:val="00C37B70"/>
    <w:pPr>
      <w:tabs>
        <w:tab w:val="center" w:pos="4819"/>
        <w:tab w:val="right" w:pos="9639"/>
      </w:tabs>
    </w:pPr>
  </w:style>
  <w:style w:type="character" w:customStyle="1" w:styleId="a8">
    <w:name w:val="Нижний колонтитул Знак"/>
    <w:link w:val="a7"/>
    <w:uiPriority w:val="99"/>
    <w:rsid w:val="00C37B70"/>
    <w:rPr>
      <w:rFonts w:eastAsia="Times New Roman" w:cs="Times New Roman"/>
      <w:sz w:val="20"/>
      <w:szCs w:val="20"/>
      <w:lang w:eastAsia="ru-RU"/>
    </w:rPr>
  </w:style>
  <w:style w:type="character" w:styleId="a9">
    <w:name w:val="Hyperlink"/>
    <w:uiPriority w:val="99"/>
    <w:unhideWhenUsed/>
    <w:rsid w:val="00661082"/>
    <w:rPr>
      <w:color w:val="0000FF"/>
      <w:u w:val="single"/>
    </w:rPr>
  </w:style>
  <w:style w:type="character" w:customStyle="1" w:styleId="UnresolvedMention">
    <w:name w:val="Unresolved Mention"/>
    <w:basedOn w:val="a0"/>
    <w:uiPriority w:val="99"/>
    <w:semiHidden/>
    <w:unhideWhenUsed/>
    <w:rsid w:val="007964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924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3390/electronics1317356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1050;&#1086;&#1085;&#1092;&#1077;&#1088;&#1077;&#1085;&#1094;&#1080;&#1103;%20&#1057;&#1052;&#1057;&#1030;&#1058;-2021\&#1048;&#1085;&#1092;&#1086;&#1088;&#1084;&#1072;&#1094;&#1080;&#1103;\Tezy.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Tezy</Template>
  <TotalTime>6</TotalTime>
  <Pages>3</Pages>
  <Words>8170</Words>
  <Characters>4658</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12803</CharactersWithSpaces>
  <SharedDoc>false</SharedDoc>
  <HLinks>
    <vt:vector size="6" baseType="variant">
      <vt:variant>
        <vt:i4>327774</vt:i4>
      </vt:variant>
      <vt:variant>
        <vt:i4>6</vt:i4>
      </vt:variant>
      <vt:variant>
        <vt:i4>0</vt:i4>
      </vt:variant>
      <vt:variant>
        <vt:i4>5</vt:i4>
      </vt:variant>
      <vt:variant>
        <vt:lpwstr>http://shop.uas.org.ua/ua/informacija-ta-dokumentacija-bibliografichne-posilannja-zagal-ni-polozhennja-ta-pravila-skladannja.html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Dymova</dc:creator>
  <cp:keywords/>
  <dc:description/>
  <cp:lastModifiedBy>Пользователь</cp:lastModifiedBy>
  <cp:revision>5</cp:revision>
  <dcterms:created xsi:type="dcterms:W3CDTF">2025-05-12T07:23:00Z</dcterms:created>
  <dcterms:modified xsi:type="dcterms:W3CDTF">2025-05-12T07:29:00Z</dcterms:modified>
</cp:coreProperties>
</file>