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75D" w:rsidRPr="00324BE8" w:rsidRDefault="00CE075D" w:rsidP="00CE075D">
      <w:pPr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E82B9D">
        <w:rPr>
          <w:rFonts w:ascii="Times New Roman" w:hAnsi="Times New Roman" w:cs="Times New Roman"/>
          <w:i/>
          <w:sz w:val="28"/>
          <w:szCs w:val="28"/>
          <w:lang w:val="uk-UA"/>
        </w:rPr>
        <w:t>Алмашова</w:t>
      </w:r>
      <w:proofErr w:type="spellEnd"/>
      <w:r w:rsidRPr="00E82B9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В.С, </w:t>
      </w:r>
      <w:r w:rsidR="00324BE8">
        <w:rPr>
          <w:rFonts w:ascii="Times New Roman" w:hAnsi="Times New Roman" w:cs="Times New Roman"/>
          <w:i/>
          <w:sz w:val="28"/>
          <w:szCs w:val="28"/>
          <w:lang w:val="uk-UA"/>
        </w:rPr>
        <w:t>Сердюк М.М.</w:t>
      </w:r>
    </w:p>
    <w:p w:rsidR="00CE075D" w:rsidRPr="00F35E04" w:rsidRDefault="00CE075D" w:rsidP="00CE075D">
      <w:pPr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F35E04">
        <w:rPr>
          <w:rFonts w:ascii="Times New Roman" w:hAnsi="Times New Roman" w:cs="Times New Roman"/>
          <w:i/>
          <w:iCs/>
          <w:sz w:val="28"/>
          <w:szCs w:val="28"/>
        </w:rPr>
        <w:t>Херсонський</w:t>
      </w:r>
      <w:proofErr w:type="spellEnd"/>
      <w:r w:rsidRPr="00F35E0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35E04">
        <w:rPr>
          <w:rFonts w:ascii="Times New Roman" w:hAnsi="Times New Roman" w:cs="Times New Roman"/>
          <w:i/>
          <w:iCs/>
          <w:sz w:val="28"/>
          <w:szCs w:val="28"/>
        </w:rPr>
        <w:t>державний</w:t>
      </w:r>
      <w:proofErr w:type="spellEnd"/>
      <w:r w:rsidRPr="00F35E04">
        <w:rPr>
          <w:rFonts w:ascii="Times New Roman" w:hAnsi="Times New Roman" w:cs="Times New Roman"/>
          <w:i/>
          <w:iCs/>
          <w:sz w:val="28"/>
          <w:szCs w:val="28"/>
        </w:rPr>
        <w:t xml:space="preserve"> аграрно-</w:t>
      </w:r>
      <w:proofErr w:type="spellStart"/>
      <w:r w:rsidRPr="00F35E04">
        <w:rPr>
          <w:rFonts w:ascii="Times New Roman" w:hAnsi="Times New Roman" w:cs="Times New Roman"/>
          <w:i/>
          <w:iCs/>
          <w:sz w:val="28"/>
          <w:szCs w:val="28"/>
        </w:rPr>
        <w:t>економічний</w:t>
      </w:r>
      <w:proofErr w:type="spellEnd"/>
      <w:r w:rsidRPr="00F35E0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:rsidR="00CE075D" w:rsidRPr="00F35E04" w:rsidRDefault="00CE075D" w:rsidP="00CE075D">
      <w:pPr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F35E0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                                                              </w:t>
      </w:r>
      <w:proofErr w:type="spellStart"/>
      <w:r w:rsidRPr="00F35E04">
        <w:rPr>
          <w:rFonts w:ascii="Times New Roman" w:hAnsi="Times New Roman" w:cs="Times New Roman"/>
          <w:i/>
          <w:iCs/>
          <w:sz w:val="28"/>
          <w:szCs w:val="28"/>
        </w:rPr>
        <w:t>університет</w:t>
      </w:r>
      <w:proofErr w:type="spellEnd"/>
      <w:r w:rsidRPr="00F35E04">
        <w:rPr>
          <w:rFonts w:ascii="Times New Roman" w:hAnsi="Times New Roman" w:cs="Times New Roman"/>
          <w:i/>
          <w:iCs/>
          <w:sz w:val="28"/>
          <w:szCs w:val="28"/>
        </w:rPr>
        <w:t xml:space="preserve">, м. Херсон, </w:t>
      </w:r>
      <w:proofErr w:type="spellStart"/>
      <w:r w:rsidRPr="00F35E04">
        <w:rPr>
          <w:rFonts w:ascii="Times New Roman" w:hAnsi="Times New Roman" w:cs="Times New Roman"/>
          <w:i/>
          <w:iCs/>
          <w:sz w:val="28"/>
          <w:szCs w:val="28"/>
        </w:rPr>
        <w:t>Україна</w:t>
      </w:r>
      <w:proofErr w:type="spellEnd"/>
    </w:p>
    <w:p w:rsidR="00CE075D" w:rsidRPr="003E4483" w:rsidRDefault="00CE075D" w:rsidP="00CE075D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42039" w:rsidRDefault="00CE075D" w:rsidP="00CE075D">
      <w:pPr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ЕКОЛОГІЧНИЙ МОНІТОРИНГ СУЧАСНОГО СТАНУ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НИЖНЬОДНІСТРОВСЬКОГО НАЦІОНАЛЬНОГО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ПРИРОДНОГО ПАРКУ НА ТЕРИТОРІЇ ОДЕСЬКОЇ ОБЛАСТІ</w:t>
      </w:r>
    </w:p>
    <w:p w:rsidR="00CE075D" w:rsidRDefault="00CE075D" w:rsidP="00CE075D">
      <w:pPr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E075D" w:rsidRPr="00CE075D" w:rsidRDefault="00CE075D" w:rsidP="00CE075D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</w:pPr>
      <w:r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Нижньод</w:t>
      </w:r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ністровський </w:t>
      </w:r>
      <w:r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Національний Парк</w:t>
      </w:r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 розташований у зоні злиття річок Придністров'я та Нижнього Придністров'я, в межах заплави. Ця територія охоплює правий, північний берег річки, ліворуч від долини Придністров'я і примикає </w:t>
      </w:r>
      <w:r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до вод Придністровського лиману </w:t>
      </w:r>
      <w:r w:rsidRPr="00CE075D">
        <w:rPr>
          <w:rFonts w:ascii="Tahoma" w:eastAsia="NSimSun" w:hAnsi="Tahoma" w:cs="Tahoma"/>
          <w:color w:val="000000"/>
          <w:kern w:val="2"/>
          <w:sz w:val="28"/>
          <w:szCs w:val="28"/>
          <w:lang w:val="uk-UA" w:eastAsia="zh-CN" w:bidi="hi-IN"/>
        </w:rPr>
        <w:t>﻿</w:t>
      </w:r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із заходу і сходу, а також до корінного глинистого узбережжя на півдні. Протяжність території сягає близько 30 км від північного заходу на південний схід і приблизно 14 км від заходу на схід, а загальний периметр становить близько 140 км.</w:t>
      </w:r>
    </w:p>
    <w:p w:rsidR="00CE075D" w:rsidRPr="00CE075D" w:rsidRDefault="00CE075D" w:rsidP="00CE075D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</w:pPr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Заповідні зони займають екологічно важливі природні комплекси, які мають першочергове значення для збереження біорізноманіття в басейні річки Придністров’я. Охоронювана територія майже повністю охоплює Нижньодністровський національний природний парк (НПП), загальна площа якого становить 7620 гектарів. Значна частина земельної ділянки цієї території, надана у довгострокове користування, поділена на дві ділянки: 2500 га у </w:t>
      </w:r>
      <w:proofErr w:type="spellStart"/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Біляївському</w:t>
      </w:r>
      <w:proofErr w:type="spellEnd"/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 районі та 1200 га у Білгород-Дністровському районі.</w:t>
      </w:r>
    </w:p>
    <w:p w:rsidR="00CE075D" w:rsidRPr="00CE075D" w:rsidRDefault="00CE075D" w:rsidP="00CE075D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</w:pPr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У межах заповідної території розташовані плавучі озера, серед яких Озеро гори</w:t>
      </w:r>
      <w:r w:rsidRPr="00CE075D">
        <w:rPr>
          <w:rFonts w:ascii="Tahoma" w:eastAsia="NSimSun" w:hAnsi="Tahoma" w:cs="Tahoma"/>
          <w:color w:val="000000"/>
          <w:kern w:val="2"/>
          <w:sz w:val="28"/>
          <w:szCs w:val="28"/>
          <w:lang w:val="uk-UA" w:eastAsia="zh-CN" w:bidi="hi-IN"/>
        </w:rPr>
        <w:t>﻿</w:t>
      </w:r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, Озеро </w:t>
      </w:r>
      <w:proofErr w:type="spellStart"/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Біле</w:t>
      </w:r>
      <w:r w:rsidRPr="00CE075D">
        <w:rPr>
          <w:rFonts w:ascii="Tahoma" w:eastAsia="NSimSun" w:hAnsi="Tahoma" w:cs="Tahoma"/>
          <w:color w:val="000000"/>
          <w:kern w:val="2"/>
          <w:sz w:val="28"/>
          <w:szCs w:val="28"/>
          <w:lang w:val="uk-UA" w:eastAsia="zh-CN" w:bidi="hi-IN"/>
        </w:rPr>
        <w:t>﻿</w:t>
      </w:r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та</w:t>
      </w:r>
      <w:proofErr w:type="spellEnd"/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 частина озера </w:t>
      </w:r>
      <w:proofErr w:type="spellStart"/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Тюдорово</w:t>
      </w:r>
      <w:proofErr w:type="spellEnd"/>
      <w:r w:rsidRPr="00CE075D">
        <w:rPr>
          <w:rFonts w:ascii="Tahoma" w:eastAsia="NSimSun" w:hAnsi="Tahoma" w:cs="Tahoma"/>
          <w:color w:val="000000"/>
          <w:kern w:val="2"/>
          <w:sz w:val="28"/>
          <w:szCs w:val="28"/>
          <w:lang w:val="uk-UA" w:eastAsia="zh-CN" w:bidi="hi-IN"/>
        </w:rPr>
        <w:t>﻿</w:t>
      </w:r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. Тут також є унікальні ділянки лісу на північних берегах гірської річки Придністров'я разом із прилеглими водами. Охоронна територія межує з регульованою зоною відпочинку, а </w:t>
      </w:r>
      <w:proofErr w:type="spellStart"/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Нижньодністровська</w:t>
      </w:r>
      <w:proofErr w:type="spellEnd"/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 НПП є найбільшою за площею в цьому регіоні (близько 40%), включаючи великі ді</w:t>
      </w:r>
      <w:r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лянки Придністровського лиману </w:t>
      </w:r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 заток </w:t>
      </w:r>
      <w:proofErr w:type="spellStart"/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Карагель</w:t>
      </w:r>
      <w:proofErr w:type="spellEnd"/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 та мертвого </w:t>
      </w:r>
      <w:proofErr w:type="spellStart"/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Турунчука</w:t>
      </w:r>
      <w:proofErr w:type="spellEnd"/>
      <w:r w:rsidRPr="00CE075D">
        <w:rPr>
          <w:rFonts w:ascii="Tahoma" w:eastAsia="NSimSun" w:hAnsi="Tahoma" w:cs="Tahoma"/>
          <w:color w:val="000000"/>
          <w:kern w:val="2"/>
          <w:sz w:val="28"/>
          <w:szCs w:val="28"/>
          <w:lang w:val="uk-UA" w:eastAsia="zh-CN" w:bidi="hi-IN"/>
        </w:rPr>
        <w:t>﻿</w:t>
      </w:r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. Ці ділянки відокремлені від головної частини парку, яка розташована поблизу села на березі парку, в зоні злиття Придністровського </w:t>
      </w:r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lastRenderedPageBreak/>
        <w:t xml:space="preserve">лиману від </w:t>
      </w:r>
      <w:proofErr w:type="spellStart"/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Пд</w:t>
      </w:r>
      <w:proofErr w:type="spellEnd"/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.</w:t>
      </w:r>
      <w:r w:rsidRPr="00CE075D">
        <w:rPr>
          <w:rFonts w:ascii="Tahoma" w:eastAsia="NSimSun" w:hAnsi="Tahoma" w:cs="Tahoma"/>
          <w:color w:val="000000"/>
          <w:kern w:val="2"/>
          <w:sz w:val="28"/>
          <w:szCs w:val="28"/>
          <w:lang w:val="uk-UA" w:eastAsia="zh-CN" w:bidi="hi-IN"/>
        </w:rPr>
        <w:t>﻿</w:t>
      </w:r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. Стаціонарні зони відпочинку займають близько 1% площі парку і призначені для обслуговування відвідувачів </w:t>
      </w:r>
      <w:proofErr w:type="spellStart"/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Нижньодністровської</w:t>
      </w:r>
      <w:proofErr w:type="spellEnd"/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 АЕС.</w:t>
      </w:r>
    </w:p>
    <w:p w:rsidR="00CE075D" w:rsidRPr="00CE075D" w:rsidRDefault="00CE075D" w:rsidP="00CE075D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</w:pPr>
      <w:proofErr w:type="spellStart"/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Геоморфологічно</w:t>
      </w:r>
      <w:proofErr w:type="spellEnd"/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 Нижньодністровський НПП характеризується однорідним рельєфом: переважає рівнинна заплава з водотоками. Найпоширеніши</w:t>
      </w:r>
      <w:r w:rsidR="00324BE8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ми формами рельєфу є русла річки</w:t>
      </w:r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 Дністровського </w:t>
      </w:r>
      <w:r w:rsidR="00324BE8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хребта </w:t>
      </w:r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з точною висотою від 0,5 до 3 (іноді 5) метрів над рівнем води, а також штучні насипи заввишки 0,5–2,5 м.</w:t>
      </w:r>
    </w:p>
    <w:p w:rsidR="00CE075D" w:rsidRPr="00CE075D" w:rsidRDefault="00CE075D" w:rsidP="00CE075D">
      <w:pPr>
        <w:spacing w:line="360" w:lineRule="auto"/>
        <w:ind w:firstLine="709"/>
        <w:contextualSpacing/>
        <w:jc w:val="both"/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</w:pPr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Особливою рисою заплави, крім структури і міцності </w:t>
      </w:r>
      <w:proofErr w:type="spellStart"/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гребенів</w:t>
      </w:r>
      <w:proofErr w:type="spellEnd"/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, є унікальна зона в середній частині, яка складається із щільно переплетених коренів очерету, місцями з додаванням котів, озерних рослин та мулистих </w:t>
      </w:r>
      <w:proofErr w:type="spellStart"/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відкладень</w:t>
      </w:r>
      <w:proofErr w:type="spellEnd"/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. Ці особливості ландшафту створюють сприятливі умови для розвитку різноманітної місцевої флори і фауни з високим рівнем біорізноманіття.</w:t>
      </w:r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 </w:t>
      </w:r>
    </w:p>
    <w:p w:rsidR="00CE075D" w:rsidRPr="00CE075D" w:rsidRDefault="00CE075D" w:rsidP="00CE075D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</w:pPr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Рекреаційна діяльність на території парку продовжується його спеціалізованими підрозділами, а також іншими підприємствами та установами за погодженням з адміністрацією відповідно до чинного законодавства.</w:t>
      </w:r>
    </w:p>
    <w:p w:rsidR="00CE075D" w:rsidRPr="00CE075D" w:rsidRDefault="00CE075D" w:rsidP="00324BE8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</w:pPr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Економічна зона призначена для ведення господарської діяльності, спрямованої на виконання завдань </w:t>
      </w:r>
      <w:proofErr w:type="spellStart"/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Нижньодністровського</w:t>
      </w:r>
      <w:proofErr w:type="spellEnd"/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 НПП. Тут розташовані населені пункти з приватною та комунальною забудовою, об'єкти інфраструктури парку, а також землі інших власників, інтегровані у відповідності з парком відповідно до екологічних вимог.</w:t>
      </w:r>
      <w:r w:rsidR="00324BE8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 </w:t>
      </w:r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В межах регульованих, стаціонарних рекреаційних та економічних зон</w:t>
      </w:r>
      <w:r w:rsidRPr="00CE075D">
        <w:rPr>
          <w:rFonts w:ascii="Tahoma" w:eastAsia="NSimSun" w:hAnsi="Tahoma" w:cs="Tahoma"/>
          <w:color w:val="000000"/>
          <w:kern w:val="2"/>
          <w:sz w:val="28"/>
          <w:szCs w:val="28"/>
          <w:lang w:val="uk-UA" w:eastAsia="zh-CN" w:bidi="hi-IN"/>
        </w:rPr>
        <w:t>﻿</w:t>
      </w:r>
      <w:r w:rsidR="00324BE8">
        <w:rPr>
          <w:rFonts w:ascii="Tahoma" w:eastAsia="NSimSun" w:hAnsi="Tahoma" w:cs="Tahoma"/>
          <w:color w:val="000000"/>
          <w:kern w:val="2"/>
          <w:sz w:val="28"/>
          <w:szCs w:val="28"/>
          <w:lang w:val="uk-UA" w:eastAsia="zh-CN" w:bidi="hi-IN"/>
        </w:rPr>
        <w:t xml:space="preserve"> </w:t>
      </w:r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забороняється здійснення видів діяльності, які призводять або виявляються можуть спричинити деградацію стану навколишнього середовища та зниження рекреаційної цінності паркових територій.</w:t>
      </w:r>
    </w:p>
    <w:p w:rsidR="00324BE8" w:rsidRPr="00324BE8" w:rsidRDefault="00CE075D" w:rsidP="00324BE8">
      <w:pPr>
        <w:spacing w:line="360" w:lineRule="auto"/>
        <w:ind w:firstLine="709"/>
        <w:contextualSpacing/>
        <w:jc w:val="both"/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</w:pPr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Територія </w:t>
      </w:r>
      <w:proofErr w:type="spellStart"/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Нижньодністровського</w:t>
      </w:r>
      <w:proofErr w:type="spellEnd"/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 НПП</w:t>
      </w:r>
      <w:r w:rsidR="00324BE8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 </w:t>
      </w:r>
      <w:r w:rsidRPr="00CE075D">
        <w:rPr>
          <w:rFonts w:ascii="Tahoma" w:eastAsia="NSimSun" w:hAnsi="Tahoma" w:cs="Tahoma"/>
          <w:color w:val="000000"/>
          <w:kern w:val="2"/>
          <w:sz w:val="28"/>
          <w:szCs w:val="28"/>
          <w:lang w:val="uk-UA" w:eastAsia="zh-CN" w:bidi="hi-IN"/>
        </w:rPr>
        <w:t>﻿</w:t>
      </w:r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розташована в межах водно-болотних угідь міжнародного значення "Річки, до яких приєднуються </w:t>
      </w:r>
      <w:r w:rsidR="00324BE8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Придністров'я </w:t>
      </w:r>
      <w:r w:rsidRPr="00CE075D">
        <w:rPr>
          <w:rFonts w:ascii="Tahoma" w:eastAsia="NSimSun" w:hAnsi="Tahoma" w:cs="Tahoma"/>
          <w:color w:val="000000"/>
          <w:kern w:val="2"/>
          <w:sz w:val="28"/>
          <w:szCs w:val="28"/>
          <w:lang w:val="uk-UA" w:eastAsia="zh-CN" w:bidi="hi-IN"/>
        </w:rPr>
        <w:t>﻿</w:t>
      </w:r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та північної частини придністровського лиману</w:t>
      </w:r>
      <w:r w:rsidRPr="00CE075D">
        <w:rPr>
          <w:rFonts w:ascii="Tahoma" w:eastAsia="NSimSun" w:hAnsi="Tahoma" w:cs="Tahoma"/>
          <w:color w:val="000000"/>
          <w:kern w:val="2"/>
          <w:sz w:val="28"/>
          <w:szCs w:val="28"/>
          <w:lang w:val="uk-UA" w:eastAsia="zh-CN" w:bidi="hi-IN"/>
        </w:rPr>
        <w:t>﻿</w:t>
      </w:r>
      <w:r w:rsidRPr="00CE075D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. Рамсарська Конвенція про водно-болотні угіддя, що мають міжнародне значення, головним чином як середовище створення водоплавних птахів</w:t>
      </w:r>
      <w:r w:rsidR="00324BE8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. </w:t>
      </w:r>
      <w:r w:rsidR="00324BE8" w:rsidRPr="00324BE8"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  <w:t>Основними складовими частинами Дністровського водогосподарського комплексу</w:t>
      </w:r>
      <w:r w:rsidR="00324BE8" w:rsidRPr="00324BE8">
        <w:rPr>
          <w:rFonts w:ascii="Tahoma" w:eastAsia="NSimSun" w:hAnsi="Tahoma" w:cs="Tahoma"/>
          <w:kern w:val="2"/>
          <w:sz w:val="28"/>
          <w:szCs w:val="28"/>
          <w:lang w:val="uk-UA" w:eastAsia="zh-CN" w:bidi="hi-IN"/>
        </w:rPr>
        <w:t>﻿</w:t>
      </w:r>
      <w:r w:rsidR="00324BE8" w:rsidRPr="00324BE8"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  <w:t xml:space="preserve"> є водопостачання населених пунктів, промисловість, сільськогосподарське виробництво, зрошення </w:t>
      </w:r>
      <w:r w:rsidR="00324BE8" w:rsidRPr="00324BE8"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  <w:lastRenderedPageBreak/>
        <w:t>земель, гідроенергетика, водний транспорт, рибальство та рекреаційна діяльність. Аналіз водокористування в басейні Придністров’я у період 1986–2004 років дозволяє ідентифікувати чіткі тенденції у споживанні водних ресурсів у різних галузях.</w:t>
      </w:r>
    </w:p>
    <w:p w:rsidR="00324BE8" w:rsidRPr="00324BE8" w:rsidRDefault="00324BE8" w:rsidP="00324BE8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</w:pPr>
      <w:r w:rsidRPr="00324BE8"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  <w:t>Порушення стандартів якості води досягли рівнів, що свідчать про деградацію водних екосистем і зниження продуктивності водосховищ. Значна частина населення басейну користується неякісною водою, що становить загрозу для здоров’я.</w:t>
      </w:r>
    </w:p>
    <w:p w:rsidR="00324BE8" w:rsidRPr="00324BE8" w:rsidRDefault="00324BE8" w:rsidP="00324BE8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</w:pPr>
      <w:r w:rsidRPr="00324BE8"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  <w:t>Головними забруднювачами басейну Дністра є промислові підприємства й об’єкти житлово-комунального господарства. Водойми басейну особливо забруднені солями амонію, нафтовими продуктами і важкими металами. Основними джерелами забруднення поверхневих вод є:</w:t>
      </w:r>
    </w:p>
    <w:p w:rsidR="00324BE8" w:rsidRPr="00324BE8" w:rsidRDefault="00324BE8" w:rsidP="00324BE8">
      <w:pPr>
        <w:numPr>
          <w:ilvl w:val="0"/>
          <w:numId w:val="1"/>
        </w:numPr>
        <w:suppressAutoHyphens/>
        <w:spacing w:after="0" w:line="360" w:lineRule="auto"/>
        <w:contextualSpacing/>
        <w:jc w:val="both"/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</w:pPr>
      <w:r w:rsidRPr="00324BE8"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  <w:t>скиди неочищених і погано очищених міських і промислових стічних вод у водойми безпосередньо та з міських каналізаційних систем;</w:t>
      </w:r>
    </w:p>
    <w:p w:rsidR="00324BE8" w:rsidRPr="00324BE8" w:rsidRDefault="00324BE8" w:rsidP="00324BE8">
      <w:pPr>
        <w:numPr>
          <w:ilvl w:val="0"/>
          <w:numId w:val="1"/>
        </w:numPr>
        <w:suppressAutoHyphens/>
        <w:spacing w:after="0" w:line="360" w:lineRule="auto"/>
        <w:contextualSpacing/>
        <w:jc w:val="both"/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</w:pPr>
      <w:r w:rsidRPr="00324BE8"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  <w:t>забруднення із поверхневого стоку з урбанізованих територій і сільськогосподарських угідь;</w:t>
      </w:r>
    </w:p>
    <w:p w:rsidR="00324BE8" w:rsidRPr="00324BE8" w:rsidRDefault="00324BE8" w:rsidP="00324BE8">
      <w:pPr>
        <w:numPr>
          <w:ilvl w:val="0"/>
          <w:numId w:val="1"/>
        </w:numPr>
        <w:suppressAutoHyphens/>
        <w:spacing w:after="0" w:line="360" w:lineRule="auto"/>
        <w:contextualSpacing/>
        <w:jc w:val="both"/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</w:pPr>
      <w:r w:rsidRPr="00324BE8"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  <w:t>ерозія ґрунтів у зонах водозбору.</w:t>
      </w:r>
    </w:p>
    <w:p w:rsidR="00324BE8" w:rsidRPr="00324BE8" w:rsidRDefault="00324BE8" w:rsidP="00324BE8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</w:pPr>
      <w:r w:rsidRPr="00324BE8"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  <w:t>Нераціональне водокористування у всіх сферах викликає серйозні екологічні проблеми: повені і паводки дедалі частіше набувають катастрофічних масштабів, виникають пошкодження і руйнування гідротехнічних споруд. Актуальними залишаються питання стану водних ресурсів басейну Придністров’я.</w:t>
      </w:r>
    </w:p>
    <w:p w:rsidR="00324BE8" w:rsidRPr="00324BE8" w:rsidRDefault="00324BE8" w:rsidP="00324BE8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</w:pPr>
      <w:r w:rsidRPr="00324BE8"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  <w:t>Систематичний екологічний моніторинг та управління водними ресурсами мають визначити основні проблеми для подальшого вирішення:</w:t>
      </w:r>
    </w:p>
    <w:p w:rsidR="00324BE8" w:rsidRPr="00324BE8" w:rsidRDefault="00324BE8" w:rsidP="00324BE8">
      <w:pPr>
        <w:numPr>
          <w:ilvl w:val="0"/>
          <w:numId w:val="2"/>
        </w:numPr>
        <w:suppressAutoHyphens/>
        <w:spacing w:after="0" w:line="360" w:lineRule="auto"/>
        <w:contextualSpacing/>
        <w:jc w:val="both"/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</w:pPr>
      <w:r w:rsidRPr="00324BE8"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  <w:t>екстремальне антропогенне навантаження на водойми спричинило функціональну кризу, яка потребує комплексного підходу до управління;</w:t>
      </w:r>
    </w:p>
    <w:p w:rsidR="00324BE8" w:rsidRPr="00324BE8" w:rsidRDefault="00324BE8" w:rsidP="00324BE8">
      <w:pPr>
        <w:numPr>
          <w:ilvl w:val="0"/>
          <w:numId w:val="2"/>
        </w:numPr>
        <w:suppressAutoHyphens/>
        <w:spacing w:after="0" w:line="360" w:lineRule="auto"/>
        <w:contextualSpacing/>
        <w:jc w:val="both"/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</w:pPr>
      <w:r w:rsidRPr="00324BE8"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  <w:t xml:space="preserve">зниження природної </w:t>
      </w:r>
      <w:proofErr w:type="spellStart"/>
      <w:r w:rsidRPr="00324BE8"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  <w:t>самоочищувальної</w:t>
      </w:r>
      <w:proofErr w:type="spellEnd"/>
      <w:r w:rsidRPr="00324BE8"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  <w:t xml:space="preserve"> здатності річок і виснаження водних ресурсів;</w:t>
      </w:r>
    </w:p>
    <w:p w:rsidR="00324BE8" w:rsidRPr="00324BE8" w:rsidRDefault="00324BE8" w:rsidP="00324BE8">
      <w:pPr>
        <w:numPr>
          <w:ilvl w:val="0"/>
          <w:numId w:val="2"/>
        </w:numPr>
        <w:suppressAutoHyphens/>
        <w:spacing w:after="0" w:line="360" w:lineRule="auto"/>
        <w:contextualSpacing/>
        <w:jc w:val="both"/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</w:pPr>
      <w:r w:rsidRPr="00324BE8"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  <w:t>нерегулярне скидання стічних вод з населених пунктів і господарств, що призводить до суттєвого забруднення;</w:t>
      </w:r>
    </w:p>
    <w:p w:rsidR="00324BE8" w:rsidRPr="00324BE8" w:rsidRDefault="00324BE8" w:rsidP="00324BE8">
      <w:pPr>
        <w:numPr>
          <w:ilvl w:val="0"/>
          <w:numId w:val="2"/>
        </w:numPr>
        <w:suppressAutoHyphens/>
        <w:spacing w:after="0" w:line="360" w:lineRule="auto"/>
        <w:contextualSpacing/>
        <w:jc w:val="both"/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</w:pPr>
      <w:r w:rsidRPr="00324BE8"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  <w:lastRenderedPageBreak/>
        <w:t>застосування застарілих технологій у сільському господарстві, низька ефективність очисних споруд, що спричиняє забруднення органічними і біогенними речовинами;</w:t>
      </w:r>
    </w:p>
    <w:p w:rsidR="00324BE8" w:rsidRPr="00324BE8" w:rsidRDefault="00324BE8" w:rsidP="00324BE8">
      <w:pPr>
        <w:numPr>
          <w:ilvl w:val="0"/>
          <w:numId w:val="2"/>
        </w:numPr>
        <w:suppressAutoHyphens/>
        <w:spacing w:after="0" w:line="360" w:lineRule="auto"/>
        <w:contextualSpacing/>
        <w:jc w:val="both"/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</w:pPr>
      <w:r w:rsidRPr="00324BE8"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  <w:t>погіршення якості питної води через незадовільний стан природних джерел;</w:t>
      </w:r>
    </w:p>
    <w:p w:rsidR="00324BE8" w:rsidRPr="00324BE8" w:rsidRDefault="00324BE8" w:rsidP="00324BE8">
      <w:pPr>
        <w:numPr>
          <w:ilvl w:val="0"/>
          <w:numId w:val="2"/>
        </w:numPr>
        <w:suppressAutoHyphens/>
        <w:spacing w:after="0" w:line="360" w:lineRule="auto"/>
        <w:contextualSpacing/>
        <w:jc w:val="both"/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</w:pPr>
      <w:r w:rsidRPr="00324BE8"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  <w:t>недосконалість економічних механізмів водокористування та недостатня ефективність заходів збереження водних ресурсів через прогалину нормативно-правової бази й структури управління;</w:t>
      </w:r>
    </w:p>
    <w:p w:rsidR="00324BE8" w:rsidRPr="00324BE8" w:rsidRDefault="00324BE8" w:rsidP="00324BE8">
      <w:pPr>
        <w:numPr>
          <w:ilvl w:val="0"/>
          <w:numId w:val="2"/>
        </w:numPr>
        <w:suppressAutoHyphens/>
        <w:spacing w:after="0" w:line="360" w:lineRule="auto"/>
        <w:contextualSpacing/>
        <w:jc w:val="both"/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</w:pPr>
      <w:r w:rsidRPr="00324BE8"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  <w:t>автоматизованих систем постійного моніторингу якості питної та стічної води у водопостачанні й каналізації.</w:t>
      </w:r>
    </w:p>
    <w:p w:rsidR="00CE075D" w:rsidRDefault="00324BE8" w:rsidP="00324BE8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</w:pPr>
      <w:r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  <w:t xml:space="preserve">Отже, можна сказати, що екологічний стан природних ресурсів території </w:t>
      </w:r>
      <w:proofErr w:type="spellStart"/>
      <w:r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  <w:t>Нижньодністровського</w:t>
      </w:r>
      <w:proofErr w:type="spellEnd"/>
      <w:r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  <w:t xml:space="preserve"> НПП знаходиться у задовільному стані. Але на нашу думку е</w:t>
      </w:r>
      <w:r w:rsidRPr="00324BE8"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  <w:t>кологічна реабілітація річкових басейнів</w:t>
      </w:r>
      <w:r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  <w:t xml:space="preserve"> </w:t>
      </w:r>
      <w:r w:rsidRPr="00324BE8"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  <w:t xml:space="preserve"> має стати оптимальною водною політикою, спрямованою на забезпечення сталого функціонування екосистем, якісних водних ресурсів, безпечних для населення умов проживання та господарської діяльності, а також захисту ресурсів від забруднення та виснаженн</w:t>
      </w:r>
      <w:r>
        <w:rPr>
          <w:rFonts w:ascii="Times New Roman" w:eastAsia="NSimSun" w:hAnsi="Times New Roman" w:cs="Arial"/>
          <w:kern w:val="2"/>
          <w:sz w:val="28"/>
          <w:szCs w:val="28"/>
          <w:lang w:val="uk-UA" w:eastAsia="zh-CN" w:bidi="hi-IN"/>
        </w:rPr>
        <w:t>я.</w:t>
      </w:r>
    </w:p>
    <w:p w:rsidR="00324BE8" w:rsidRDefault="00324BE8" w:rsidP="00324BE8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</w:pPr>
    </w:p>
    <w:p w:rsidR="00324BE8" w:rsidRPr="00324BE8" w:rsidRDefault="00324BE8" w:rsidP="00324BE8">
      <w:pPr>
        <w:suppressAutoHyphens/>
        <w:spacing w:after="0" w:line="360" w:lineRule="auto"/>
        <w:ind w:firstLine="709"/>
        <w:contextualSpacing/>
        <w:jc w:val="center"/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</w:pPr>
      <w:r w:rsidRPr="00324BE8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ЛІТЕРА</w:t>
      </w:r>
      <w:bookmarkStart w:id="0" w:name="_GoBack"/>
      <w:bookmarkEnd w:id="0"/>
      <w:r w:rsidRPr="00324BE8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ТУРА</w:t>
      </w:r>
    </w:p>
    <w:p w:rsidR="00324BE8" w:rsidRPr="00324BE8" w:rsidRDefault="00324BE8" w:rsidP="00324BE8">
      <w:pPr>
        <w:suppressAutoHyphens/>
        <w:spacing w:after="0" w:line="360" w:lineRule="auto"/>
        <w:contextualSpacing/>
        <w:jc w:val="both"/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</w:pPr>
      <w:r w:rsidRPr="00324BE8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1. Клименко М.О., </w:t>
      </w:r>
      <w:proofErr w:type="spellStart"/>
      <w:r w:rsidRPr="00324BE8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Бедункова</w:t>
      </w:r>
      <w:proofErr w:type="spellEnd"/>
      <w:r w:rsidRPr="00324BE8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 О.О. </w:t>
      </w:r>
      <w:proofErr w:type="spellStart"/>
      <w:r w:rsidRPr="00324BE8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Біоіндикація</w:t>
      </w:r>
      <w:proofErr w:type="spellEnd"/>
      <w:r w:rsidRPr="00324BE8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 стану </w:t>
      </w:r>
      <w:proofErr w:type="spellStart"/>
      <w:r w:rsidRPr="00324BE8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гідроекосистем</w:t>
      </w:r>
      <w:proofErr w:type="spellEnd"/>
      <w:r w:rsidRPr="00324BE8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 за морфологічними та </w:t>
      </w:r>
      <w:proofErr w:type="spellStart"/>
      <w:r w:rsidRPr="00324BE8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цитогенетичними</w:t>
      </w:r>
      <w:proofErr w:type="spellEnd"/>
      <w:r w:rsidRPr="00324BE8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 характеристиками гомеостазу риб. Рівне: НУВГП, 2018. 302 с.</w:t>
      </w:r>
    </w:p>
    <w:p w:rsidR="00324BE8" w:rsidRPr="00324BE8" w:rsidRDefault="00324BE8" w:rsidP="00324BE8">
      <w:pPr>
        <w:suppressAutoHyphens/>
        <w:spacing w:after="0" w:line="360" w:lineRule="auto"/>
        <w:contextualSpacing/>
        <w:jc w:val="both"/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</w:pPr>
      <w:r w:rsidRPr="00324BE8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2. </w:t>
      </w:r>
      <w:proofErr w:type="spellStart"/>
      <w:r w:rsidRPr="00324BE8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Голіков</w:t>
      </w:r>
      <w:proofErr w:type="spellEnd"/>
      <w:r w:rsidRPr="00324BE8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 А.П., Козакова Н.А., </w:t>
      </w:r>
      <w:proofErr w:type="spellStart"/>
      <w:r w:rsidRPr="00324BE8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Пересадько</w:t>
      </w:r>
      <w:proofErr w:type="spellEnd"/>
      <w:r w:rsidRPr="00324BE8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 В.А. Водна безпека людства: глобальний і регіональний виміри. Вісник Харківського національного університету імені В.Н. Каразіна. Серія: Міжнародні відносини. Економіка. Країнознавство. Туризм. 2018. Випуск 7. С.26-34.</w:t>
      </w:r>
    </w:p>
    <w:p w:rsidR="00324BE8" w:rsidRPr="00324BE8" w:rsidRDefault="00324BE8" w:rsidP="00324BE8">
      <w:pPr>
        <w:suppressAutoHyphens/>
        <w:spacing w:after="0" w:line="360" w:lineRule="auto"/>
        <w:contextualSpacing/>
        <w:jc w:val="both"/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</w:pPr>
      <w:r w:rsidRPr="00324BE8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3. </w:t>
      </w:r>
      <w:proofErr w:type="spellStart"/>
      <w:r w:rsidRPr="00324BE8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Хільчевський</w:t>
      </w:r>
      <w:proofErr w:type="spellEnd"/>
      <w:r w:rsidRPr="00324BE8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 В. К. Основні засади управління якістю водних ресурсів України та їхня охорона: </w:t>
      </w:r>
      <w:proofErr w:type="spellStart"/>
      <w:r w:rsidRPr="00324BE8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навч</w:t>
      </w:r>
      <w:proofErr w:type="spellEnd"/>
      <w:r w:rsidRPr="00324BE8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. Посібник. Київ: ВПЦ Київський університет. 2019. 172 с.</w:t>
      </w:r>
    </w:p>
    <w:p w:rsidR="00324BE8" w:rsidRPr="00CE075D" w:rsidRDefault="00324BE8" w:rsidP="00324BE8">
      <w:pPr>
        <w:suppressAutoHyphens/>
        <w:spacing w:after="0" w:line="360" w:lineRule="auto"/>
        <w:contextualSpacing/>
        <w:jc w:val="both"/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</w:pPr>
      <w:r w:rsidRPr="00324BE8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4. Екологічні основи управління водними ресурсами. </w:t>
      </w:r>
      <w:proofErr w:type="spellStart"/>
      <w:r w:rsidRPr="00324BE8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Томільцева</w:t>
      </w:r>
      <w:proofErr w:type="spellEnd"/>
      <w:r w:rsidRPr="00324BE8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 А.І., Яцик А.В., </w:t>
      </w:r>
      <w:proofErr w:type="spellStart"/>
      <w:r w:rsidRPr="00324BE8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>Мокін</w:t>
      </w:r>
      <w:proofErr w:type="spellEnd"/>
      <w:r w:rsidRPr="00324BE8">
        <w:rPr>
          <w:rFonts w:ascii="Times New Roman" w:eastAsia="NSimSun" w:hAnsi="Times New Roman" w:cs="Arial"/>
          <w:color w:val="000000"/>
          <w:kern w:val="2"/>
          <w:sz w:val="28"/>
          <w:szCs w:val="28"/>
          <w:lang w:val="uk-UA" w:eastAsia="zh-CN" w:bidi="hi-IN"/>
        </w:rPr>
        <w:t xml:space="preserve"> В. Б. та ін. Київ: Інститут екологічного управління та збалансованого природокористування, 2017. 200 с.</w:t>
      </w:r>
    </w:p>
    <w:sectPr w:rsidR="00324BE8" w:rsidRPr="00CE075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C420A0"/>
    <w:multiLevelType w:val="multilevel"/>
    <w:tmpl w:val="88163F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A153B9F"/>
    <w:multiLevelType w:val="multilevel"/>
    <w:tmpl w:val="FB663A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01B3"/>
    <w:rsid w:val="000C01B3"/>
    <w:rsid w:val="00324BE8"/>
    <w:rsid w:val="00842039"/>
    <w:rsid w:val="00CE0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0342CBE-16A0-40A7-90B5-16BB701A0B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075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4718</Words>
  <Characters>2690</Characters>
  <Application>Microsoft Office Word</Application>
  <DocSecurity>0</DocSecurity>
  <Lines>22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Алмашов</dc:creator>
  <cp:keywords/>
  <dc:description/>
  <cp:lastModifiedBy>Руслан Алмашов</cp:lastModifiedBy>
  <cp:revision>2</cp:revision>
  <dcterms:created xsi:type="dcterms:W3CDTF">2025-11-17T10:33:00Z</dcterms:created>
  <dcterms:modified xsi:type="dcterms:W3CDTF">2025-11-17T10:52:00Z</dcterms:modified>
</cp:coreProperties>
</file>